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               </w:t>
      </w:r>
      <w:r>
        <w:rPr>
          <w:vertAlign w:val="baseline"/>
        </w:rPr>
        <w:t xml:space="preserve">Kvk.VII.39.379/2022/4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             </w:t>
      </w:r>
      <w:r>
        <w:rPr>
          <w:vertAlign w:val="baseline"/>
        </w:rPr>
        <w:t xml:space="preserve">Dr. Farkas Katalin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a tanács elnöke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Dr. Stumpf-Rádai Ágota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előadó 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bíró</w:t>
      </w:r>
    </w:p>
    <w:p>
      <w:pPr>
        <w:jc w:val="left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kérelmező</w:t>
      </w:r>
      <w:r>
        <w:rPr>
          <w:b/>
          <w:vertAlign w:val="baseline"/>
        </w:rPr>
        <w:t xml:space="preserve">:</w:t>
      </w:r>
      <w:r>
        <w:rPr>
          <w:b/>
          <w:vertAlign w:val="baseline"/>
        </w:rPr>
        <w:t xml:space="preserve">                                                </w:t>
      </w:r>
      <w:r>
        <w:rPr>
          <w:vertAlign w:val="baseline"/>
        </w:rPr>
        <w:t xml:space="preserve">FIDESZ-M</w:t>
      </w:r>
      <w:r>
        <w:rPr>
          <w:vertAlign w:val="baseline"/>
        </w:rPr>
        <w:t xml:space="preserve">agyar </w:t>
      </w:r>
      <w:r>
        <w:rPr>
          <w:vertAlign w:val="baseline"/>
        </w:rPr>
        <w:t xml:space="preserve">Polgári Szövetség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kérelmező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 kérelmező képviselője:</w:t>
      </w:r>
      <w:r>
        <w:rPr>
          <w:b/>
          <w:vertAlign w:val="baseline"/>
        </w:rPr>
        <w:t xml:space="preserve">                             </w:t>
      </w:r>
      <w:r>
        <w:rPr>
          <w:vertAlign w:val="baseline"/>
        </w:rPr>
        <w:t xml:space="preserve">Dr. Biczi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Turi Ügyvédi Iroda,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eljáró ügyvéd: </w:t>
      </w:r>
      <w:r>
        <w:rPr>
          <w:vertAlign w:val="baseline"/>
        </w:rPr>
        <w:t xml:space="preserve">dr. Biczi Tamás László</w:t>
      </w:r>
    </w:p>
    <w:p>
      <w:pPr>
        <w:jc w:val="left"/>
      </w:pPr>
      <w:r>
        <w:rPr>
          <w:vertAlign w:val="baseline"/>
        </w:rPr>
        <w:t xml:space="preserve">(</w:t>
      </w:r>
      <w:r>
        <w:rPr>
          <w:vertAlign w:val="baseline"/>
        </w:rPr>
        <w:t xml:space="preserve">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               </w:t>
      </w:r>
      <w:r>
        <w:rPr>
          <w:vertAlign w:val="baseline"/>
        </w:rPr>
        <w:t xml:space="preserve">választási ügyben hozott határozat bírósági felülvizsgálata</w:t>
      </w:r>
    </w:p>
    <w:p>
      <w:pPr>
        <w:jc w:val="left"/>
      </w:pPr>
      <w:r>
        <w:rPr>
          <w:b/>
          <w:vertAlign w:val="baseline"/>
        </w:rPr>
        <w:t xml:space="preserve">A felülvizsgálati kérelmet benyújtó fél:</w:t>
      </w:r>
      <w:r>
        <w:rPr>
          <w:b/>
          <w:vertAlign w:val="baseline"/>
        </w:rPr>
        <w:t xml:space="preserve">     </w:t>
      </w:r>
      <w:r>
        <w:rPr>
          <w:vertAlign w:val="baseline"/>
        </w:rPr>
        <w:t xml:space="preserve">kérelmező</w:t>
      </w:r>
    </w:p>
    <w:p>
      <w:pPr>
        <w:jc w:val="left"/>
      </w:pPr>
      <w:r>
        <w:rPr>
          <w:b/>
          <w:vertAlign w:val="baseline"/>
        </w:rPr>
        <w:t xml:space="preserve">A felülvizsgálni kért jogerős határozat:</w:t>
      </w:r>
      <w:r>
        <w:rPr>
          <w:b/>
          <w:vertAlign w:val="baseline"/>
        </w:rPr>
        <w:t xml:space="preserve">    </w:t>
      </w:r>
      <w:r>
        <w:rPr>
          <w:vertAlign w:val="baseline"/>
        </w:rPr>
        <w:t xml:space="preserve">Nemzeti Választási Bizottság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236/2022</w:t>
      </w:r>
      <w:r>
        <w:rPr>
          <w:vertAlign w:val="baseline"/>
        </w:rPr>
        <w:t xml:space="preserve">. számú határozata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Nemzeti Választási Bizottság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236/2022</w:t>
      </w:r>
      <w:r>
        <w:rPr>
          <w:vertAlign w:val="baseline"/>
        </w:rPr>
        <w:t xml:space="preserve">. számú határozatát helybenhagyja.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felülvizsgálati eljárás illetékét az állam viseli.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további jogorvoslatnak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magánszemély (a továbbiakban: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) 2022. március 22. napján kifogást nyújtott be a </w:t>
      </w:r>
      <w:r>
        <w:rPr>
          <w:vertAlign w:val="baseline"/>
        </w:rPr>
        <w:t xml:space="preserve">Pest Megye</w:t>
      </w:r>
      <w:r>
        <w:rPr>
          <w:vertAlign w:val="baseline"/>
        </w:rPr>
        <w:t xml:space="preserve"> 10. számú </w:t>
      </w:r>
      <w:r>
        <w:rPr>
          <w:vertAlign w:val="baseline"/>
        </w:rPr>
        <w:t xml:space="preserve">Országgyűlési Egyéni Választókerületi Választási Bizottsághoz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), amelyben előadta, hogy </w:t>
      </w:r>
      <w:r>
        <w:rPr>
          <w:vertAlign w:val="baseline"/>
        </w:rPr>
        <w:t xml:space="preserve">Szabó Rebeka Pest Megye</w:t>
      </w:r>
      <w:r>
        <w:rPr>
          <w:vertAlign w:val="baseline"/>
        </w:rPr>
        <w:t xml:space="preserve"> 10. számú választókerületében jogerősen nyilvántartásba vett képviselőjelölt (a továbbiakban: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Facebook</w:t>
      </w:r>
      <w:r>
        <w:rPr>
          <w:vertAlign w:val="baseline"/>
        </w:rPr>
        <w:t xml:space="preserve"> oldalán a kifogáshoz csatolt hirdetések láthatók, amelyeket a vele együttműködő külső finanszírozó a kormanytvaltok.hu (a továbbiakban: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) finanszírozott. Hivatkozott arra, hogy a hirdetések kampányeszköznek minősülnek, azok kampányidőszakban történő használata kampánytevékenység.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nem jelölt és nem is minősül nyilvántartásba vett jelölő szervezetnek.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csatolta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közszereplői </w:t>
      </w:r>
      <w:r>
        <w:rPr>
          <w:vertAlign w:val="baseline"/>
        </w:rPr>
        <w:t xml:space="preserve">Facebook</w:t>
      </w:r>
      <w:r>
        <w:rPr>
          <w:vertAlign w:val="baseline"/>
        </w:rPr>
        <w:t xml:space="preserve"> oldalának képernyőfotóját, ahol egyes megjelenő hirdetések tekintetében finanszírozóként a </w:t>
      </w:r>
      <w:r>
        <w:rPr>
          <w:vertAlign w:val="baseline"/>
        </w:rPr>
        <w:t xml:space="preserve">Holnap</w:t>
      </w:r>
      <w:r>
        <w:rPr>
          <w:vertAlign w:val="baseline"/>
        </w:rPr>
        <w:t xml:space="preserve"> került megjelölésre.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kampányeszközeit (bejegyzéseit) a kampányidőszakban 88.413 forint értékben jelenítette meg hirdetésként a </w:t>
      </w:r>
      <w:r>
        <w:rPr>
          <w:vertAlign w:val="baseline"/>
        </w:rPr>
        <w:t xml:space="preserve">Facebook</w:t>
      </w:r>
      <w:r>
        <w:rPr>
          <w:vertAlign w:val="baseline"/>
        </w:rPr>
        <w:t xml:space="preserve"> közösségi oldalon. A hirdetések finanszírozása hosszú ideje, folyamatosan zajlik.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Előadta,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fenti tevékenysége nem önálló véleménynyilvánítás, mert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kampányeszközeit kommentár, értékelés, egyetértés kifejezése nélkül terjeszti ellenérték fejében, azt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kampánytevékenységeként kell azonosítani, így az általa fizetett hirdetéseket is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kiadásaként kell elszámolni.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országgyűlési képviselők választása kampányköltségeinek átláthatóvá tételéről szóló 2013. évi </w:t>
      </w:r>
      <w:r>
        <w:rPr>
          <w:vertAlign w:val="baseline"/>
        </w:rPr>
        <w:t xml:space="preserve">LXXXVII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) 7. § (1) bekezdéséből következően a pártok által támogatott egyéni képviselőjelölt a kampányidőszak alatt, a választási kampánytevékenységgel összefüggő kiadások finanszírozására legfeljebb </w:t>
      </w:r>
      <w:r>
        <w:rPr>
          <w:vertAlign w:val="baseline"/>
        </w:rPr>
        <w:t xml:space="preserve">5.000.000.</w:t>
      </w:r>
      <w:r>
        <w:rPr>
          <w:vertAlign w:val="baseline"/>
        </w:rPr>
        <w:t xml:space="preserve"> Ft-ot költhet, amelybe beleszámít a jelölt és a jelölő szervezet összes vonatkozó kiadása.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olyan tevékenységet folytatnak, amely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kampánykiadásokat korlátozó rendelkezésének megkerülésére irányul azáltal, hogy külső, tőlük látszólag független finanszírozót vonnak be a kiadások fedezésébe, e tevékenységükkel pedig oly mértékben tudják megnövelni hirdetéseik elérését, amely törvényes keretek között nem volna lehetséges.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kizárólag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megkerülésére és kijátszására jött létre, e cél érdekében folytat tevékenységet.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megsértésével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olyan előnyhöz jutott, amelyek a többi képviselőjelölt számára nem elérhetőek, ezzel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szerinti felső költséghatár </w:t>
      </w:r>
      <w:r>
        <w:rPr>
          <w:vertAlign w:val="baseline"/>
        </w:rPr>
        <w:t xml:space="preserve">(5.000.000.</w:t>
      </w:r>
      <w:r>
        <w:rPr>
          <w:vertAlign w:val="baseline"/>
        </w:rPr>
        <w:t xml:space="preserve"> Ft) meghaladására irányuló tevékenység történik.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választási eljárásról szóló 2013. évi </w:t>
      </w:r>
      <w:r>
        <w:rPr>
          <w:vertAlign w:val="baseline"/>
        </w:rPr>
        <w:t xml:space="preserve">XXXVI.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) ugyan nem határoz meg szabályokat a kampányra vonatkozó kiadások kapcsán, de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egyértelmű rendelkezéseket tartalmaz.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alapelvei a választási eljárásban általánosan érvényesülő szabályok, amelyeket minden eljárási cselekmény során be kell tartani és egyben hézagpótló jelleggel is bírnak.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a) pontja szerinti választás tisztaságának megóvásának elve sérül azáltal, hogy a kampánya finanszírozására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látszólag egy tőle független honlapot használ, csökkentve a kampányfinanszírozás átláthatóságát, és ezzel megtévesztve a választópolgárokat annak a látszatát kelti, hogy betartják a pénzügyekre vonatkozó korlátozást.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választópolgárok nincsenek abban a helyzetben, hogy elválasszák egymástól a jogszerű és a jogellenes kampányeszközöket.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c) pontja szerinti esélyegyenlőség a jelöltek és a jelölő szervezetek közötti alapelv is sérült, mert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igénybevételével olyan lehetőséget kapott a törvényben meghatározott költési korlátok átlépésére, amely más jelöltek számára nem adott. Ezzel összefüggésben utalt a </w:t>
      </w:r>
      <w:r>
        <w:rPr>
          <w:vertAlign w:val="baseline"/>
        </w:rPr>
        <w:t xml:space="preserve">Kúria Kvk.II.</w:t>
      </w:r>
      <w:r>
        <w:rPr>
          <w:vertAlign w:val="baseline"/>
        </w:rPr>
        <w:t xml:space="preserve">37.395/2014/2. számú végzésében foglaltakra.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e) pontja szerinti jóhiszemű és rendeltetésszerű joggyakorlás alapelvének sem felel meg az a magatartás, amikor egy képviselőjelölt megpróbál kibújni a rá vonatkozó, törvény által megszabott keretek közül, mert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személyi hatályára vonatkozó rendelkezések alapján kizárólag a jelölt és a jelölő szervezet joga a kampánytevékenységgel összefüggő kiadások finanszírozása, harmadik személy, így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ebben nem vehet részt; közreműködése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rendeltetésellenes alkalmazását, a szabályok kijátszását valósítja meg.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Nemzeti Választási Bizottság</w:t>
      </w:r>
      <w:r>
        <w:rPr>
          <w:vertAlign w:val="baseline"/>
        </w:rPr>
        <w:t xml:space="preserve"> (továbbiakban: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98/2022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129/2022</w:t>
      </w:r>
      <w:r>
        <w:rPr>
          <w:vertAlign w:val="baseline"/>
        </w:rPr>
        <w:t xml:space="preserve">. számú határozataira és a </w:t>
      </w:r>
      <w:r>
        <w:rPr>
          <w:vertAlign w:val="baseline"/>
        </w:rPr>
        <w:t xml:space="preserve">Kúria Kvk.III.</w:t>
      </w:r>
      <w:r>
        <w:rPr>
          <w:vertAlign w:val="baseline"/>
        </w:rPr>
        <w:t xml:space="preserve">39.264/2022/4. számú végzésére utalva kifogásolta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Kúria Kftv.</w:t>
      </w:r>
      <w:r>
        <w:rPr>
          <w:vertAlign w:val="baseline"/>
        </w:rPr>
        <w:t xml:space="preserve"> alkalmazására irányuló gyakorlatát. A </w:t>
      </w:r>
      <w:r>
        <w:rPr>
          <w:vertAlign w:val="baseline"/>
        </w:rPr>
        <w:t xml:space="preserve">Kúria Knk.VII.</w:t>
      </w:r>
      <w:r>
        <w:rPr>
          <w:vertAlign w:val="baseline"/>
        </w:rPr>
        <w:t xml:space="preserve">37.918/2018/2. számú népszavazás hitelesítési kérdésben hozott határozatban kifejtettek analóg módon alkalmazhatóak a jelen ügyben is. A nevelési intézményekben folytatott választási kampányra vonatkozó kúriai gyakorlat (</w:t>
      </w:r>
      <w:r>
        <w:rPr>
          <w:vertAlign w:val="baseline"/>
        </w:rPr>
        <w:t xml:space="preserve">Kvk.II.37.395/2014/2</w:t>
      </w:r>
      <w:r>
        <w:rPr>
          <w:vertAlign w:val="baseline"/>
        </w:rPr>
        <w:t xml:space="preserve">.)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érveit támasztja alá, mivel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semmilyen módon nem utal a nemzeti köznevelésről szóló 2011. évi </w:t>
      </w:r>
      <w:r>
        <w:rPr>
          <w:vertAlign w:val="baseline"/>
        </w:rPr>
        <w:t xml:space="preserve">CXC.</w:t>
      </w:r>
      <w:r>
        <w:rPr>
          <w:vertAlign w:val="baseline"/>
        </w:rPr>
        <w:t xml:space="preserve"> törvény (továbbiakban: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) szabályaira, ahogyan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esetében sem. E két törvény választási eljárásban betöltött szerepe hasonló, ennek ellenére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nem azonos módon ítéli meg a két ügytípust, azonban az eltérő megítélésre nem adnak magyarázatot.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sérelme egyértelműen és közvetlenül kihat a választási versenyre, a választási eljárás integritására.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jogsértés és annak következményei utóbb nem reparálhatók.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kérte az </w:t>
      </w:r>
      <w:r>
        <w:rPr>
          <w:vertAlign w:val="baseline"/>
        </w:rPr>
        <w:t xml:space="preserve">Érintettel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Honlappal</w:t>
      </w:r>
      <w:r>
        <w:rPr>
          <w:vertAlign w:val="baseline"/>
        </w:rPr>
        <w:t xml:space="preserve"> szembeni jogszabálysértés megállapítását és a további jogszabálysértéstől való eltiltásukat.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OEVB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18/2022</w:t>
      </w:r>
      <w:r>
        <w:rPr>
          <w:vertAlign w:val="baseline"/>
        </w:rPr>
        <w:t xml:space="preserve">. (III.25.) számú határozatában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a), c) és e) pontjaiban foglalt elvek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általi megsértését megállapította, ezért az </w:t>
      </w:r>
      <w:r>
        <w:rPr>
          <w:vertAlign w:val="baseline"/>
        </w:rPr>
        <w:t xml:space="preserve">Érintettet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Honlapot</w:t>
      </w:r>
      <w:r>
        <w:rPr>
          <w:vertAlign w:val="baseline"/>
        </w:rPr>
        <w:t xml:space="preserve"> eltiltotta a további jogsértéstől. A csatolt képernyőfotók alapján rögzítette, hogy az </w:t>
      </w:r>
      <w:r>
        <w:rPr>
          <w:vertAlign w:val="baseline"/>
        </w:rPr>
        <w:t xml:space="preserve">Érintett Facebook</w:t>
      </w:r>
      <w:r>
        <w:rPr>
          <w:vertAlign w:val="baseline"/>
        </w:rPr>
        <w:t xml:space="preserve"> hirdetésein finanszírozóként nem a jelölt vagy jelölőszervezete van feltüntetve, hanem a </w:t>
      </w:r>
      <w:r>
        <w:rPr>
          <w:vertAlign w:val="baseline"/>
        </w:rPr>
        <w:t xml:space="preserve">Honlap.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indokolása szerint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7.§ (1) bekezdése korlátozza a képviselőjelölt kampánycélú kiadásainak összegét, amelyből az is következik, hogy a kampánykiadásokat </w:t>
      </w:r>
      <w:r>
        <w:rPr>
          <w:vertAlign w:val="baseline"/>
        </w:rPr>
        <w:t xml:space="preserve">– </w:t>
      </w:r>
      <w:r>
        <w:rPr>
          <w:vertAlign w:val="baseline"/>
        </w:rPr>
        <w:t xml:space="preserve">ellenőrizhető módon – kizárólag a jelölt és a jelölő szervezet finanszírozhatja, különben nem állapítható meg a fenti jogszabályi rendelkezés megtartása. Emiatt a kampánykiadások harmadik személy, jelen esetben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általi finanszírozása sérti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bekezdését és ez egyben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bekezdésében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által megjelölt alapelvek sérelmét is jelenti.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OEVB</w:t>
      </w:r>
      <w:r>
        <w:rPr>
          <w:vertAlign w:val="baseline"/>
        </w:rPr>
        <w:t xml:space="preserve"> a hatáskörét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214. § (1) bekezdésére alapította.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OEVB</w:t>
      </w:r>
      <w:r>
        <w:rPr>
          <w:vertAlign w:val="baseline"/>
        </w:rPr>
        <w:t xml:space="preserve"> határozatával szemben a </w:t>
      </w:r>
      <w:r>
        <w:rPr>
          <w:vertAlign w:val="baseline"/>
        </w:rPr>
        <w:t xml:space="preserve">Párbeszéd Magyarországért Párt</w:t>
      </w:r>
      <w:r>
        <w:rPr>
          <w:vertAlign w:val="baseline"/>
        </w:rPr>
        <w:t xml:space="preserve"> (a továbbiakban: </w:t>
      </w:r>
      <w:r>
        <w:rPr>
          <w:vertAlign w:val="baseline"/>
        </w:rPr>
        <w:t xml:space="preserve">Beadványozó</w:t>
      </w:r>
      <w:r>
        <w:rPr>
          <w:vertAlign w:val="baseline"/>
        </w:rPr>
        <w:t xml:space="preserve">) nyújtott be fellebbezést annak megváltoztatása és a kifogás érdemi vizsgálat nélküli elutasítása iránt.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fellebbezésében hivatkozott a </w:t>
      </w:r>
      <w:r>
        <w:rPr>
          <w:vertAlign w:val="baseline"/>
        </w:rPr>
        <w:t xml:space="preserve">Kúria Kvk.III.</w:t>
      </w:r>
      <w:r>
        <w:rPr>
          <w:vertAlign w:val="baseline"/>
        </w:rPr>
        <w:t xml:space="preserve">39.264/2022/4., </w:t>
      </w:r>
      <w:r>
        <w:rPr>
          <w:vertAlign w:val="baseline"/>
        </w:rPr>
        <w:t xml:space="preserve">Kvk.VI.39.270/2022/2</w:t>
      </w:r>
      <w:r>
        <w:rPr>
          <w:vertAlign w:val="baseline"/>
        </w:rPr>
        <w:t xml:space="preserve">. számú határozatai és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204/2022</w:t>
      </w:r>
      <w:r>
        <w:rPr>
          <w:vertAlign w:val="baseline"/>
        </w:rPr>
        <w:t xml:space="preserve">. számú határozata alapján arra, hogy a kifogás elbírálására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-nek nincs hatásköre,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nem sértette meg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rendelkezéseit, nem szolgáltatott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olyan bizonyítékot, amely alapján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bekezdése szerinti limitet túllépte volna.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Nemzeti Választási Bizottság</w:t>
      </w:r>
      <w:r>
        <w:rPr>
          <w:b/>
          <w:vertAlign w:val="baseline"/>
        </w:rPr>
        <w:t xml:space="preserve"> határozata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NVB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236/2022</w:t>
      </w:r>
      <w:r>
        <w:rPr>
          <w:vertAlign w:val="baseline"/>
        </w:rPr>
        <w:t xml:space="preserve">. számú határozatában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18/2022</w:t>
      </w:r>
      <w:r>
        <w:rPr>
          <w:vertAlign w:val="baseline"/>
        </w:rPr>
        <w:t xml:space="preserve">. (III.25.) számú határozatát megváltoztatta és a kifogást érdemi vizsgálat nélkül elutasította.</w:t>
      </w:r>
      <w:r>
        <w:rPr>
          <w:vertAlign w:val="baseline"/>
        </w:rPr>
        <w:t xml:space="preserve"> I</w:t>
      </w:r>
      <w:r>
        <w:rPr>
          <w:vertAlign w:val="baseline"/>
        </w:rPr>
        <w:t xml:space="preserve">rányadónak és követendőnek tekintette a korábbi hasonló tényállású – </w:t>
      </w:r>
      <w:r>
        <w:rPr>
          <w:vertAlign w:val="baseline"/>
        </w:rPr>
        <w:t xml:space="preserve">98/2022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129/2022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204/2022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217/2022</w:t>
      </w:r>
      <w:r>
        <w:rPr>
          <w:vertAlign w:val="baseline"/>
        </w:rPr>
        <w:t xml:space="preserve">. számú </w:t>
      </w:r>
      <w:r>
        <w:rPr>
          <w:vertAlign w:val="baseline"/>
        </w:rPr>
        <w:t xml:space="preserve">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határozatokat és a Kúria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 számú határozatát.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NVB</w:t>
      </w:r>
      <w:r>
        <w:rPr>
          <w:vertAlign w:val="baseline"/>
        </w:rPr>
        <w:t xml:space="preserve"> elsődlegesen azt vizsgálta, hogy a kifogás elbírálására rendelkezik-e hatáskörrel. Ennek során abból indult ki, hogy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208. §-a alapján kifogást a választásra irányadó szabály, illetve a választás és a választási eljárás alapelveinek megsértésére hivatkozással lehet benyújtani. A választási kampány költségeinek elszámolása és ellenőrzése tekintetében kizárólag a </w:t>
      </w:r>
      <w:r>
        <w:rPr>
          <w:vertAlign w:val="baseline"/>
        </w:rPr>
        <w:t xml:space="preserve">Magyar Államkincstár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MÁK</w:t>
      </w:r>
      <w:r>
        <w:rPr>
          <w:vertAlign w:val="baseline"/>
        </w:rPr>
        <w:t xml:space="preserve">) jogosult eljárni [Kftv. 8. § (1) és (2) bekezdés].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az országgyűlési képviselők választási eljárásában a jelöltek, jelölő szervezetek részére nevesít jogosultságokat és kötelezettségeket, továbbá a </w:t>
      </w:r>
      <w:r>
        <w:rPr>
          <w:vertAlign w:val="baseline"/>
        </w:rPr>
        <w:t xml:space="preserve">MÁK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Állami Számvevőszék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ÁSZ</w:t>
      </w:r>
      <w:r>
        <w:rPr>
          <w:vertAlign w:val="baseline"/>
        </w:rPr>
        <w:t xml:space="preserve">) részére, a választási szervek részéről kizárólag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Nemzeti Választási Iroda</w:t>
      </w:r>
      <w:r>
        <w:rPr>
          <w:vertAlign w:val="baseline"/>
        </w:rPr>
        <w:t xml:space="preserve"> számára állapít meg szűk körben feladat- és hatáskört. A választási kampány költségének elszámolása és ellenőrzése vonatkozásában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egyetlen választási bizottság részére sem határoz meg hatáskört. Önmagában az a tény sem teremt eljárási jogosultságot a választási bizottságok részére, hogy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a kifogásában választási eljárási alapelvek sérelmét hívja fel, mert ezzel valójában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megsértését állítja. E körben hivatkozott a Kúria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 számú végzés [44] bekezdésében és </w:t>
      </w:r>
      <w:r>
        <w:rPr>
          <w:vertAlign w:val="baseline"/>
        </w:rPr>
        <w:t xml:space="preserve">Kvk.VI.39.270/2022/2</w:t>
      </w:r>
      <w:r>
        <w:rPr>
          <w:vertAlign w:val="baseline"/>
        </w:rPr>
        <w:t xml:space="preserve">. számú végzése [31]-[32] bekezdéseiben foglaltakra.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Hangsúlyozta, hogy a</w:t>
      </w:r>
      <w:r>
        <w:rPr>
          <w:vertAlign w:val="baseline"/>
        </w:rPr>
        <w:t xml:space="preserve"> kúriai döntések mindenkire nézve kötelező megállapításokat tartalmaznak, rendes jogorvoslattal nem támadhatók és azok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általi felülvizsgálatára nincs mód.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Beadványozó</w:t>
      </w:r>
      <w:r>
        <w:rPr>
          <w:vertAlign w:val="baseline"/>
        </w:rPr>
        <w:t xml:space="preserve"> által kifogásolt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ellentmondó gyakorlatával összefüggésben és a </w:t>
      </w:r>
      <w:r>
        <w:rPr>
          <w:vertAlign w:val="baseline"/>
        </w:rPr>
        <w:t xml:space="preserve">Kvk.II.37.395/2014/2</w:t>
      </w:r>
      <w:r>
        <w:rPr>
          <w:vertAlign w:val="baseline"/>
        </w:rPr>
        <w:t xml:space="preserve">. számú végzésével kapcsolatban arra hivatkozott, hogy az említett jogesetben alkalmazott jogszabály (Nkt.) jelentősen eltér a tárgyi ügytől.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24. § (3) bekezdése egy általános tiltó rendelkezést tartalmaz a nevelési-oktatási intézményekben folytatott politikai tevékenységgel kapcsolatban, amelynek vélt vagy valós megsértése esetén –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különös részében rögzített jogorvoslati hatásköri szabályok alapján – a választási bizottságok jogosultak eljárni. Ezzel szemben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által felhívott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annak megsértése esetében nem a választási bizottságokat nevesíti eljáró szervként, hanem a </w:t>
      </w:r>
      <w:r>
        <w:rPr>
          <w:vertAlign w:val="baseline"/>
        </w:rPr>
        <w:t xml:space="preserve">MÁK</w:t>
      </w:r>
      <w:r>
        <w:rPr>
          <w:vertAlign w:val="baseline"/>
        </w:rPr>
        <w:t xml:space="preserve">-ot. Emiatt a Kifogástevő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 számú döntéstől való eltérésre vonatkozó érvelése nem alapos.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NVB</w:t>
      </w:r>
      <w:r>
        <w:rPr>
          <w:vertAlign w:val="baseline"/>
        </w:rPr>
        <w:t xml:space="preserve"> a kifogást hatáskör hiányában,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215. § d) pontjára figyelemmel érdemi vizsgálat nélkül elutasította.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NVB</w:t>
      </w:r>
      <w:r>
        <w:rPr>
          <w:vertAlign w:val="baseline"/>
        </w:rPr>
        <w:t xml:space="preserve"> határozatával szemben a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nyújtott be felülvizsgálati kérelmet, amelyben annak megváltoztatását</w:t>
      </w:r>
      <w:r>
        <w:rPr>
          <w:vertAlign w:val="baseline"/>
        </w:rPr>
        <w:t xml:space="preserve">, és a kifogásnak helyt adó határozat meghozatalát</w:t>
      </w:r>
      <w:r>
        <w:rPr>
          <w:vertAlign w:val="baseline"/>
        </w:rPr>
        <w:t xml:space="preserve"> kérte.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felülvizsgálni kért határozat </w:t>
      </w:r>
      <w:r>
        <w:rPr>
          <w:vertAlign w:val="baseline"/>
        </w:rPr>
        <w:t xml:space="preserve">– </w:t>
      </w:r>
      <w:r>
        <w:rPr>
          <w:vertAlign w:val="baseline"/>
        </w:rPr>
        <w:t xml:space="preserve">álláspontja szerint – sérti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43. § (1) és (5) bekezdéseinek, továbbá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208. §-a alkalmazását, mert figyelmen kívül hagyja a választási eljárás, kifogásban megjelölt alapelveinek bizonyítékokkal alátámasztott sérelmét.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Érintettsége</w:t>
      </w:r>
      <w:r>
        <w:rPr>
          <w:vertAlign w:val="baseline"/>
        </w:rPr>
        <w:t xml:space="preserve"> alátámasztására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hivatkozott arra, hogy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Kérelmezőt,</w:t>
      </w:r>
      <w:r>
        <w:rPr>
          <w:vertAlign w:val="baseline"/>
        </w:rPr>
        <w:t xml:space="preserve"> mint jelölő szervezetet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40/2022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(I. 27.) számú határozatával nyilvántartásba vette, és az </w:t>
      </w:r>
      <w:r>
        <w:rPr>
          <w:vertAlign w:val="baseline"/>
        </w:rPr>
        <w:t xml:space="preserve">Érintettel</w:t>
      </w:r>
      <w:r>
        <w:rPr>
          <w:vertAlign w:val="baseline"/>
        </w:rPr>
        <w:t xml:space="preserve"> megegyező választókerületben állított jelöltet.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álláspontja szerint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tévesen hivatkozott a Kúria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 számú határozatában foglalt indokokat is figyelembe véve arra, hogy a kifogás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rendelkezései megsértésének – a választási szervek általi – megállapítására irányult. Valójában a kifogás arra hívta fel a figyelmet, hogy a választási eljárás esélyegyenlősége megbomlott, amely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kampányának jogsértő jellegére vezethető vissza, továbbá az átvállalt kampányfinanszírozással a választókat is megtévesztették. A tényállás ugyan felveti a választási eljáráson kívüli szabályok (Kftv.) sérelmét, de enélkül is fennáll a választási eljárás alapelveibe ütközés. Vitatta, hogy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ne térhetne 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döntésétől, mivel az nem normatív erejű, kötelező alkalmazása csak az adott ügyre vonatkozik, eltérő tényállás és jogi érvelés függvényében eltérő eredményre lehet jutni. </w:t>
      </w:r>
      <w:r>
        <w:rPr>
          <w:vertAlign w:val="baseline"/>
        </w:rPr>
        <w:t xml:space="preserve">E körben hivatkozott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177/2022</w:t>
      </w:r>
      <w:r>
        <w:rPr>
          <w:vertAlign w:val="baseline"/>
        </w:rPr>
        <w:t xml:space="preserve">. (III. 16.) számú határozatra.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elmulasztotta a tényállás tisztázását, határozatában kizárólag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választásra irányadó szabály-jellegéről értekezett, és nem vizsgálta, hogy a bizonyítékok alátámasztják-e azt a megállapítást, hogy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nem önálló, politikai véleményformáló entitás, hanem egy finanszírozó szervezet, ezért a közösségi oldalon folytatott reklámtevékenysége nem valamely jelölt melletti kiállás, hanem magának a jelöltnek a kampánya. Arról sem döntött, hogy a választási eljárásban jogszerűen igénybe vehető-e olyan kampány, amely névlegesen nem a jelölt vagy a jelölő szervezete által finanszírozott és amellyel megtéveszti a választópolgárokat, követhetetlenné teszi számukra a kiadások áttekintését, illetve a jogszerű és a jogellenes kampányeszközök egymástól való elválasztását, ezzel a választói akarat kifejezését korlátozza.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kérelméhez újabb bizonyítékokat csatolt, kiemelve, hogy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kampányköltései tovább emelkedtek.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esélyegyenlőség sérelmét [Ve. 2. § (1) bekezdés c) pont] okozta, hogy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tevékenysége révén olyan előnyhöz jutott, melyek a jogkövető magatartást megvalósító versenytársak számára nem adottak.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Kúria </w:t>
      </w:r>
      <w:r>
        <w:rPr>
          <w:vertAlign w:val="baseline"/>
        </w:rPr>
        <w:t xml:space="preserve">Kvk.II.37.359/2014/2</w:t>
      </w:r>
      <w:r>
        <w:rPr>
          <w:vertAlign w:val="baseline"/>
        </w:rPr>
        <w:t xml:space="preserve">. számú határozatára hivatkozva állította, hogy amennyiben a külső finanszírozó bevonása jogellenes, akkor a jelölt azt jogkövetkezmények nélkül nem alkalmazhatja.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jóhiszemű és rendeltetésszerű joggyakorlás alapelvének [Ve. 2. § (1) bekezdés e) pont] sérelme azzal valósul meg, hogy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olyan forrásokat vont be kampányába, melyeket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zárt felsorolása nem tartalmaz, így azok nem megengedettek, továbbá a tevékenysége a kiadásokra vonatkozó felső határ megkerülésére irányul.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-nek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analógia útján történő alkalmazására vonatkozó érvelése téves. Sem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, sem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nem ad kifejezetten hatáskört a választási bizottságok számára, ennek ellenére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esetén a gyakorlat megállapítja a hatáskört, míg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esetében nem.</w:t>
      </w:r>
      <w:r>
        <w:rPr>
          <w:vertAlign w:val="baseline"/>
        </w:rPr>
        <w:t xml:space="preserve"> A választási bizottságok hatásköre nem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hatásköri szabályai alapján állapítható meg, hanem a választási eljárás alapelveinek sérelme kapcsán. Hangsúlyozta, hogy ha a megállapítani kért jogsértéseknek csak egy része nem tartozik a választási bizottság hatáskörébe, az nem eredményezheti automatikusan a kifogás elutasítását. E szempont figyelmen kívül hagyása oda vezetett, hogy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nem értelmezte, hogy a választási eljárásra nem irányadó törvények (Nkt.,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) megsértése milyen viszonyban áll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alapelveivel, utóbbiak sérelme mikor, milyen törvénysértés esetén állapítható meg.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Érvelése</w:t>
      </w:r>
      <w:r>
        <w:rPr>
          <w:vertAlign w:val="baseline"/>
        </w:rPr>
        <w:t xml:space="preserve">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rendelkezik azon eszközökkel, amelyek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rendelkezéseinek választási eljárási alapelvek sérelmére vezető megsértése, megkerülése esetén annak megítélését egységes és helyes joggyakorlatba tereli. Jelen ügyben a hatáskör elvetésével a jogalkalmazó szervek a jelöltek, jelölő szervezetek számára azt üzenik, hogy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alkalmazása során elkövetett jogsértésekkel szerzett előny a választási eljárás során jogszerűen megtartható, az a választás eredményének jogerős megállapításáig (és a jogerőnek köszönhetően) azt követően sem reparálható, azaz a választók megtévesztése a választási eljárásban elfogadható.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tájékoztatása ellenére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Honlap</w:t>
      </w:r>
      <w:r>
        <w:rPr>
          <w:vertAlign w:val="baseline"/>
        </w:rPr>
        <w:t xml:space="preserve"> a megadott határidőben nyilatkozatot nem terjesztett elő.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felülvizsgálati kérelem alaptalan.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felülvizsgálati kérelmet az ügyben érdekelt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terjesztette elő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224. § </w:t>
      </w:r>
      <w:r>
        <w:rPr>
          <w:vertAlign w:val="baseline"/>
        </w:rPr>
        <w:t xml:space="preserve">(2)-(3)</w:t>
      </w:r>
      <w:r>
        <w:rPr>
          <w:vertAlign w:val="baseline"/>
        </w:rPr>
        <w:t xml:space="preserve"> bekezdéseiben foglaltaknak megfelelően, emiatt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azt érdemben bírálta el.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bekezdés, valamint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a), c) és e) pontjaiban foglalt alapelvek megsértésére alapította kifogását.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mindenekelőtt hangsúlyozza, hogy a jogvitával érintett jogkérdésben érdemben már állást foglalt 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Knk.VII.37.918/2018/2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Kvk.VI.39.270/2022/2</w:t>
      </w:r>
      <w:r>
        <w:rPr>
          <w:vertAlign w:val="baseline"/>
        </w:rPr>
        <w:t xml:space="preserve">. számú,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Bírósági Határozatok Gyűjteményében</w:t>
      </w:r>
      <w:r>
        <w:rPr>
          <w:vertAlign w:val="baseline"/>
        </w:rPr>
        <w:t xml:space="preserve"> közzétett és a </w:t>
      </w:r>
      <w:r>
        <w:rPr>
          <w:vertAlign w:val="baseline"/>
        </w:rPr>
        <w:t xml:space="preserve">Kvk.III.39.363/2022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Kvk.V.39.373/2022/5</w:t>
      </w:r>
      <w:r>
        <w:rPr>
          <w:vertAlign w:val="baseline"/>
        </w:rPr>
        <w:t xml:space="preserve">. számú </w:t>
      </w:r>
      <w:r>
        <w:rPr>
          <w:vertAlign w:val="baseline"/>
        </w:rPr>
        <w:t xml:space="preserve">határozataiban. A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által felvetett kötőerő és az eltérés lehetőségével kapcsolatban az alábbiakat emeli ki: a bíróságok szervezetéről és igazgatásáról 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) 32. § (1) bekezdés b) pontja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ítélkező tanácsát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Bírósági Határozatok Gyűjteményében</w:t>
      </w:r>
      <w:r>
        <w:rPr>
          <w:vertAlign w:val="baseline"/>
        </w:rPr>
        <w:t xml:space="preserve"> közzétett határozatai jogkérdésekben kötik, azoktól csak előzetes döntéshozatali indítvánnyal jogegységi eljárást kezdeményezve térhet el. A választási ügyekben irányadó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228. § (2) bekezdése szerinti határidő, amely szerint a bírósági felülvizsgálat iránti kérelemről legkésőbb a beérkezésétől számított harmadik napon kell dönteni. Erre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érvelésével ellentétben nem térhet el az azonos ténybeli és jogi alapokon nyugvó ügyben a közzétett – a fentiekben megjelölt – határozataiban foglaltaktól.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208. §-a alapján kifogást a választásra irányadó jogszabály, illetve a választás és a választási eljárás alapelveinek megsértésére (a továbbiakban együtt: jogszabálysértés) hivatkozással a központi névjegyzékben szereplő választópolgár, jelölt, jelölő szervezet, továbbá az ügyben érintett természetes és jogi személy, jogi személyiség nélküli szervezet nyújthat be.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208. §-ának értelmezésével, és annak az egyedi ügy tényállására történő alkalmazásával az ügyben azt kellett vizsgálnia, hogy fennáll-e a választási bizottságok hatásköre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kifogásának elbírálására.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arra hivatkozott, hogy sérült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 b) pontjában foglalt rendelkezés, mert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közszereplői </w:t>
      </w:r>
      <w:r>
        <w:rPr>
          <w:vertAlign w:val="baseline"/>
        </w:rPr>
        <w:t xml:space="preserve">Facebook</w:t>
      </w:r>
      <w:r>
        <w:rPr>
          <w:vertAlign w:val="baseline"/>
        </w:rPr>
        <w:t xml:space="preserve"> oldalán úgy jelentek meg hirdetések, hogy azok kiadásainak fedezésére külső finanszírozót vont be, és ezáltal sérültek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a), c) és e) pontjaiban rögzített egyes választási eljárási alapelvek is.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k</w:t>
      </w:r>
      <w:r>
        <w:rPr>
          <w:vertAlign w:val="baseline"/>
        </w:rPr>
        <w:t xml:space="preserve">érelme annak megállapítására irányult, hogy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és a vele együttműködő külső finanszírozó megsértették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2. § (1) bekezdés a), c) és e) pontjaiban meghatározott alapelveket azáltal, hogy az </w:t>
      </w:r>
      <w:r>
        <w:rPr>
          <w:vertAlign w:val="baseline"/>
        </w:rPr>
        <w:t xml:space="preserve">Érintett</w:t>
      </w:r>
      <w:r>
        <w:rPr>
          <w:vertAlign w:val="baseline"/>
        </w:rPr>
        <w:t xml:space="preserve"> internetes kampányát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bekezdésében meghatározott kampánykeret-korlátozás megkerülésével folytatták.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43. § (1) bekezdése szerint a választási bizottság a rendelkezésére álló bizonyítékok alapján tisztázza a döntéshozatalhoz szükséges tényállást, az (5) bekezdés szerint a bizonyítékokat egyenként és összességükben értékeli, és az ezen alapuló meggyőződése szerint állapítja meg a tényállást. E körben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rögzíti, hogy a tényállás tisztázási kötelezettség mindig az adott ügyben alkalmazandó jogszabályi rendelkezések által megkívánt mértékben terheli a választási bizottságot. A konkrét esetben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a választási bizottságok hatáskörének hiányára alapította a döntését, a hatáskör vizsgálata megelőzi, annak hiánya pedig ki is zárja a kifogás érdemi elbírálását.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jelen ügyben is követendő </w:t>
      </w:r>
      <w:r>
        <w:rPr>
          <w:vertAlign w:val="baseline"/>
        </w:rPr>
        <w:t xml:space="preserve">Kvk.III.39.264/2022/4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Knk.VII.37.918/2018/2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határozataiban foglaltak értelmében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rendelkezéseinek megsértésén alapuló és ehhez kapcsolódóan a választási eljárási alapelvekbe ütközést állító kifogás elbírálására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-nek nincs hatásköre. 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8.-9. §-ai rendelkeznek a választási kampány költségeinek elszámolásáról és ellenőrzéséről, amely az </w:t>
      </w:r>
      <w:r>
        <w:rPr>
          <w:vertAlign w:val="baseline"/>
        </w:rPr>
        <w:t xml:space="preserve">ÁSZ</w:t>
      </w:r>
      <w:r>
        <w:rPr>
          <w:vertAlign w:val="baseline"/>
        </w:rPr>
        <w:t xml:space="preserve">-hoz és a </w:t>
      </w:r>
      <w:r>
        <w:rPr>
          <w:vertAlign w:val="baseline"/>
        </w:rPr>
        <w:t xml:space="preserve">MÁK</w:t>
      </w:r>
      <w:r>
        <w:rPr>
          <w:vertAlign w:val="baseline"/>
        </w:rPr>
        <w:t xml:space="preserve">-hoz telepít hatásköröket, ehhez kapcsolódóan egyik választási bizottságnak sincs jogköre.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helytállóan állapította meg, hogy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-t, mint hatáskörrel bíró szervet nem említi.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– figyelembevéve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zárt szabályrendszerét – nem minősül olyan választásra irányadó jogszabálynak, amely közvetlenül érint választási anyagi- és eljárásjogi szabályokat. Az a tény sem teremt eljárási jogosultságot a választási bizottságok részére, hogy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kifogásában a választási eljárási alapelvek sérelmét hívta fel, mert valójában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megsértését állította.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egyértelmű szabályokat és eljárásrendet rögzít a kampányköltségek átláthatóvá tétele érdekében, pontosan meghatározva és elhatárolva az egyes állami szervek ehhez kapcsolódó hatásköreit.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nem választásra irányadó jogszabály, és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-hez egyáltalán nem, míg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-hez a jelen ügyet érintően nem telepít hatáskört. Önmagában az a tény, hogy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megsértéséhez kapcsolódóan a </w:t>
      </w:r>
      <w:r>
        <w:rPr>
          <w:vertAlign w:val="baseline"/>
        </w:rPr>
        <w:t xml:space="preserve">Kifogástevő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egyes alapelveinek megsértésére is hivatkozik, nem jelenti azt, hogy a kifogás elbírálására az </w:t>
      </w:r>
      <w:r>
        <w:rPr>
          <w:vertAlign w:val="baseline"/>
        </w:rPr>
        <w:t xml:space="preserve">OEVB</w:t>
      </w:r>
      <w:r>
        <w:rPr>
          <w:vertAlign w:val="baseline"/>
        </w:rPr>
        <w:t xml:space="preserve"> vagy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rendelkezik hatáskörrel.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Kvk.VI.39.270/2022/2</w:t>
      </w:r>
      <w:r>
        <w:rPr>
          <w:vertAlign w:val="baseline"/>
        </w:rPr>
        <w:t xml:space="preserve">. számú határozatában – mindezek mellett – kifejtette azt is, hogy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helytállóan állapította meg, hogy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hatálya nem terjed ki sem a jelölő szervezetek, sem egyéb, a választási eljárásban tevékenységet kifejtő szervezetek gazdálkodásának vizsgálatára. Hatáskör és jogszabályi felhatalmazás hiányában a </w:t>
      </w:r>
      <w:r>
        <w:rPr>
          <w:vertAlign w:val="baseline"/>
        </w:rPr>
        <w:t xml:space="preserve">Kérelmező</w:t>
      </w:r>
      <w:r>
        <w:rPr>
          <w:vertAlign w:val="baseline"/>
        </w:rPr>
        <w:t xml:space="preserve"> alaptalanul sérelmezte a bizonyítékok értékelésének – bizottságok általi – elmulasztását.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Kvk.III.39.363/2022/3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számú, közzétett határozatában pedig kifejtette azt is, hogy „[t]</w:t>
      </w:r>
      <w:r>
        <w:rPr>
          <w:vertAlign w:val="baseline"/>
        </w:rPr>
        <w:t xml:space="preserve">éves – és a kifogásban foglaltakkal ellentétes – a kérelmező azon álláspontja, hogy jelen esetben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szabályainak megsértésével összefüggő vizsgálat nélkül is értelmezhetőek az alapelvi sérelmekre történő hivatkozások. A kifogásban állított alapelvi sérelmek megvalósulásáról ugyanis nem lehet állást foglalni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§-ának sérelmével összefüggésben hivatkozottak elbírálása nélkül, amely viszont nem tartozik egyik választási bizottság hatáskörébe sem.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egyértelmű szabályokat és eljárásrendet rögzít a kampányköltségek átláthatóvá tétele érdekében, pontosan meghatározva és elhatárolva az egyes állami szervek ehhez kapcsolódó hatásköreit [...]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arra, hogy a </w:t>
      </w:r>
      <w:r>
        <w:rPr>
          <w:vertAlign w:val="baseline"/>
        </w:rPr>
        <w:t xml:space="preserve">Kvk.II.37.395/2014/2</w:t>
      </w:r>
      <w:r>
        <w:rPr>
          <w:vertAlign w:val="baseline"/>
        </w:rPr>
        <w:t xml:space="preserve">. számú ügyben csupán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egy jogszabályi rendelkezésének az értelmezésére került sor, így nem összehasonlítható jelen üggyel, ahol olyan, a kampány finanszírozásának jogszerűségéhez kapcsolódó »előkérdésre« hivatkozott a kifogást előterjesztő, illetve a kérelmező, amely kérdésben történő döntés nem képezheti egyetlen választási bizottság feladatát sem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vonatkozó szabályainak figyelembevételével”.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fenti határozataiban megjelenő gyakorlatát a </w:t>
      </w:r>
      <w:r>
        <w:rPr>
          <w:vertAlign w:val="baseline"/>
        </w:rPr>
        <w:t xml:space="preserve">Kvk.V.39.373/2022/5</w:t>
      </w:r>
      <w:r>
        <w:rPr>
          <w:vertAlign w:val="baseline"/>
        </w:rPr>
        <w:t xml:space="preserve">. és a </w:t>
      </w:r>
      <w:r>
        <w:rPr>
          <w:vertAlign w:val="baseline"/>
        </w:rPr>
        <w:t xml:space="preserve">Kvk.VI.39.377/2022/3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számú határozatában fenntartotta, továbbá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a 2022. április 5-én kelt IV/888-</w:t>
      </w:r>
      <w:r>
        <w:rPr>
          <w:vertAlign w:val="baseline"/>
        </w:rPr>
        <w:t xml:space="preserve">3/2022</w:t>
      </w:r>
      <w:r>
        <w:rPr>
          <w:vertAlign w:val="baseline"/>
        </w:rPr>
        <w:t xml:space="preserve">. számú, a Kúria </w:t>
      </w:r>
      <w:r>
        <w:rPr>
          <w:vertAlign w:val="baseline"/>
        </w:rPr>
        <w:t xml:space="preserve">Kvk.III.39.363/2022/3</w:t>
      </w:r>
      <w:r>
        <w:rPr>
          <w:vertAlign w:val="baseline"/>
        </w:rPr>
        <w:t xml:space="preserve">. számú végzése alaptörvény-ellenességének megállapítására és megsemmisítésére irányuló alkotmányjogi panaszt visszautasító végzésének [17] bekezdésében megállapította „[a]z,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ebben a korábbi döntésében ágazati törvény,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rendelkezéseinek sérelmét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választási eljárási alapelvei sérelmeként értékelte, nem mond ellent a jelen ügyben hozott döntésének.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 kifejezetten a politikai célú kampány-tevékenységet tiltja. Az elbírált ügyben tehát egy,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-n kívüli, ágazati jogszabályban (anyagi jogi jellegű szabályban) meghatározott magatartás tilalmazásáról, konkrétan kampánytilalomról volt szó. A jelen indítvány ugyanakkor nem a kifejtett kampánytevékenység érdemét, hanem annak hátteréül szolgáló finanszírozói magatartást sérelmez, amelyet jelenleg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szabályoz. Ve.-beli szabályozás hiányában,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nem minősül olyan választásra irányadó jogszabálynak, amely közvetlenül rendezne választási anyagi- és eljárásjogi jogviszonyokat, vagy amely hatáskört adna a választási szervek számára a kampányfinanszírozás szabályszerűségének az ellenőrzésére”.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kiemeli, hogy 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7. § (1) bekezdés b) pontjában foglaltak jogszerűsége vizsgálatára, azaz a választási kampány költségeinek elszámolására és ellenőrzésére, valamint az irányadó jogkövetkezményekre a </w:t>
      </w:r>
      <w:r>
        <w:rPr>
          <w:vertAlign w:val="baseline"/>
        </w:rPr>
        <w:t xml:space="preserve">Kftv.</w:t>
      </w:r>
      <w:r>
        <w:rPr>
          <w:vertAlign w:val="baseline"/>
        </w:rPr>
        <w:t xml:space="preserve"> 8.-9. §-ai kifejezett szabályozást tartalmaznak, egyúttal meghatározzák azokat a szerveket, amelyek ebben az eljárásban hatáskörrel rendelkeznek. E szervek között a választási bizottságok nem szerepelnek, ezért ebben a tárgyban tényállást megállapítani, és annak következményeit levonni sem jogosultak. Ezzel analóg szabályozás az </w:t>
      </w:r>
      <w:r>
        <w:rPr>
          <w:vertAlign w:val="baseline"/>
        </w:rPr>
        <w:t xml:space="preserve">Nkt.</w:t>
      </w:r>
      <w:r>
        <w:rPr>
          <w:vertAlign w:val="baseline"/>
        </w:rPr>
        <w:t xml:space="preserve">-ben nem található, ezért fel sem merülhet, hogy valamely választási bizottság más szerv hatáskörét vonná el, amikor nevelési-oktatási intézményben folytatott, tiltott kampánytevékenység kérdésében dönt.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több határozatában (</w:t>
      </w:r>
      <w:r>
        <w:rPr>
          <w:vertAlign w:val="baseline"/>
        </w:rPr>
        <w:t xml:space="preserve">Kvk.IV.37.316/2014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Kvk.IV.37.657/2019/3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Kvk.IV.39.300/2022/5</w:t>
      </w:r>
      <w:r>
        <w:rPr>
          <w:vertAlign w:val="baseline"/>
        </w:rPr>
        <w:t xml:space="preserve">.) kifejtette azt is, hogy a választási eljárás sommás jellege és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-ben a bírósági jogorvoslatra előírt rövid határidők kizárják a bizonyítási eljárás lefolytatásának és ennek keretében hiánypótlási felhívás kibocsátásának a lehetőségét, a vitás hatásköri kérdések elbírálása esetén is, továbbá h</w:t>
      </w:r>
      <w:r>
        <w:rPr>
          <w:vertAlign w:val="baseline"/>
        </w:rPr>
        <w:t xml:space="preserve">atáskör hiányában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nem értékelhette a becsatolt bizonyítékokat, ezért az ennek hiányát kifogásoló felülvizsgálati érvelés alaptalan.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NVB</w:t>
      </w:r>
      <w:r>
        <w:rPr>
          <w:vertAlign w:val="baseline"/>
        </w:rPr>
        <w:t xml:space="preserve"> határozatát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231. § (5) bekezdés a) pontja alapján helybenhagyta.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              </w:t>
      </w:r>
      <w:r>
        <w:rPr>
          <w:i/>
          <w:vertAlign w:val="baseline"/>
        </w:rPr>
        <w:t xml:space="preserve">A </w:t>
      </w:r>
      <w:r>
        <w:rPr>
          <w:i/>
          <w:vertAlign w:val="baseline"/>
        </w:rPr>
        <w:t xml:space="preserve">Kftv.</w:t>
      </w:r>
      <w:r>
        <w:rPr>
          <w:i/>
          <w:vertAlign w:val="baseline"/>
        </w:rPr>
        <w:t xml:space="preserve"> rendelkezéseinek megsértésén alapuló, és ehhez kapcsolódóan a választási eljárási alapelvekbe ütközést állító kifogás elbírálására a választási bizottságoknak nincs hatásköre.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229. § (2) bekezdése alapján nemperes eljárásban, három hivatásos bíróból álló tanácsban,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228. § (2) bekezdésére tekintettel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157. § (13) bekezdése szerint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124. § (5) bekezdésének megfelelően tárgyaláson kívül bírálta el.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feljegyzett </w:t>
      </w:r>
      <w:r>
        <w:rPr>
          <w:vertAlign w:val="baseline"/>
        </w:rPr>
        <w:t xml:space="preserve">10.000 </w:t>
      </w:r>
      <w:r>
        <w:rPr>
          <w:vertAlign w:val="baseline"/>
        </w:rPr>
        <w:t xml:space="preserve">Ft</w:t>
      </w:r>
      <w:r>
        <w:rPr>
          <w:vertAlign w:val="baseline"/>
        </w:rPr>
        <w:t xml:space="preserve"> közigazgatási </w:t>
      </w:r>
      <w:r>
        <w:rPr>
          <w:vertAlign w:val="baseline"/>
        </w:rPr>
        <w:t xml:space="preserve">nemperes eljárási illeték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illetékekről</w:t>
      </w:r>
      <w:r>
        <w:rPr>
          <w:vertAlign w:val="baseline"/>
        </w:rPr>
        <w:t xml:space="preserve">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</w:t>
      </w:r>
      <w:r>
        <w:rPr>
          <w:vertAlign w:val="baseline"/>
        </w:rPr>
        <w:t xml:space="preserve">5. § (1) bekezdés d) pontjában foglalt személyes illetékmentességre figyelemmel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folytán alkalmazandó,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102. § (6) bekezdése alapján az állam terhén marad.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határozata elleni további jogorvoslat lehetőségét a </w:t>
      </w:r>
      <w:r>
        <w:rPr>
          <w:vertAlign w:val="baseline"/>
        </w:rPr>
        <w:t xml:space="preserve">Ve.</w:t>
      </w:r>
      <w:r>
        <w:rPr>
          <w:vertAlign w:val="baseline"/>
        </w:rPr>
        <w:t xml:space="preserve"> 232. § (5) bekezdése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április 6.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Farkas Katalin</w:t>
      </w:r>
      <w:r>
        <w:rPr>
          <w:vertAlign w:val="baseline"/>
        </w:rPr>
        <w:t xml:space="preserve"> s. k. a tanács elnöke, </w:t>
      </w:r>
      <w:r>
        <w:rPr>
          <w:vertAlign w:val="baseline"/>
        </w:rPr>
        <w:t xml:space="preserve">Dr. Stumpf-Rádai Ágota</w:t>
      </w:r>
      <w:r>
        <w:rPr>
          <w:vertAlign w:val="baseline"/>
        </w:rPr>
        <w:t xml:space="preserve"> s. k. előadó bíró, </w:t>
      </w: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 s. 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VII.Kvk.39.379/2022/4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