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A06AEC" w:rsidR="008333F1" w:rsidSect="00FA2D4D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</w:t>
      </w:r>
      <w:r>
        <w:br/>
      </w:r>
      <w:r>
        <w:rPr>
          <w:b/>
          <w:vertAlign w:val="baseline"/>
        </w:rPr>
        <w:t xml:space="preserve"> mint felülvizsgálati bíróság</w:t>
      </w:r>
    </w:p>
    <w:p>
      <w:pPr>
        <w:jc w:val="center"/>
      </w:pPr>
      <w:r>
        <w:rPr>
          <w:b/>
          <w:vertAlign w:val="baseline"/>
        </w:rPr>
        <w:t xml:space="preserve">végzése</w:t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Pfv.I.21.298/2022/2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Szabó Klára</w:t>
      </w:r>
      <w:r>
        <w:rPr>
          <w:vertAlign w:val="baseline"/>
        </w:rPr>
        <w:t xml:space="preserve"> a tanács elnöke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Magosi Szilvia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előadó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Mocsár Attila Zsolt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Nyírőné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Kiss Ildikó</w:t>
      </w:r>
      <w:r>
        <w:rPr>
          <w:vertAlign w:val="baseline"/>
        </w:rPr>
        <w:t xml:space="preserve"> bíró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Parlagi Mátyás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bíró</w:t>
      </w:r>
    </w:p>
    <w:p>
      <w:pPr>
        <w:jc w:val="both"/>
      </w:pPr>
      <w:r>
        <w:rPr>
          <w:b/>
          <w:vertAlign w:val="baseline"/>
        </w:rPr>
        <w:t xml:space="preserve">A felperes: </w:t>
      </w:r>
      <w:r>
        <w:rPr>
          <w:b/>
          <w:vertAlign w:val="baseline"/>
        </w:rPr>
        <w:t xml:space="preserve">         </w:t>
      </w:r>
      <w:r>
        <w:rPr>
          <w:b/>
          <w:vertAlign w:val="baseline"/>
        </w:rPr>
        <w:t xml:space="preserve">Felperes1</w:t>
      </w:r>
    </w:p>
    <w:p>
      <w:pPr>
        <w:jc w:val="both"/>
      </w:pPr>
      <w:r>
        <w:rPr>
          <w:b/>
          <w:vertAlign w:val="baseline"/>
        </w:rPr>
        <w:t xml:space="preserve">A felperes képviselője:</w:t>
      </w:r>
    </w:p>
    <w:p>
      <w:pPr>
        <w:jc w:val="both"/>
      </w:pPr>
      <w:r>
        <w:rPr>
          <w:vertAlign w:val="baseline"/>
        </w:rPr>
        <w:t xml:space="preserve">Dr. Major Szilvia Ügyvédi Iroda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b/>
          <w:vertAlign w:val="baseline"/>
        </w:rPr>
        <w:t xml:space="preserve">Az alperes: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</w:t>
      </w:r>
      <w:r>
        <w:rPr>
          <w:vertAlign w:val="baseline"/>
        </w:rPr>
        <w:t xml:space="preserve">A</w:t>
      </w:r>
      <w:r>
        <w:rPr>
          <w:vertAlign w:val="baseline"/>
        </w:rPr>
        <w:t xml:space="preserve">l</w:t>
      </w:r>
      <w:r>
        <w:rPr>
          <w:vertAlign w:val="baseline"/>
        </w:rPr>
        <w:t xml:space="preserve">p</w:t>
      </w:r>
      <w:r>
        <w:rPr>
          <w:vertAlign w:val="baseline"/>
        </w:rPr>
        <w:t xml:space="preserve">e</w:t>
      </w:r>
      <w:r>
        <w:rPr>
          <w:vertAlign w:val="baseline"/>
        </w:rPr>
        <w:t xml:space="preserve">r</w:t>
      </w:r>
      <w:r>
        <w:rPr>
          <w:vertAlign w:val="baseline"/>
        </w:rPr>
        <w:t xml:space="preserve">e</w:t>
      </w:r>
      <w:r>
        <w:rPr>
          <w:vertAlign w:val="baseline"/>
        </w:rPr>
        <w:t xml:space="preserve">s</w:t>
      </w:r>
      <w:r>
        <w:rPr>
          <w:vertAlign w:val="baseline"/>
        </w:rPr>
        <w:t xml:space="preserve">1</w:t>
      </w:r>
    </w:p>
    <w:p>
      <w:pPr>
        <w:jc w:val="left"/>
      </w:pPr>
      <w:r>
        <w:rPr>
          <w:b/>
          <w:vertAlign w:val="baseline"/>
        </w:rPr>
        <w:t xml:space="preserve">Az alperes képviselője:</w:t>
      </w:r>
    </w:p>
    <w:p>
      <w:pPr>
        <w:jc w:val="left"/>
      </w:pPr>
      <w:r>
        <w:rPr>
          <w:b/>
          <w:vertAlign w:val="baseline"/>
        </w:rPr>
        <w:t xml:space="preserve">                        </w:t>
      </w:r>
      <w:r>
        <w:rPr>
          <w:b/>
          <w:vertAlign w:val="baseline"/>
        </w:rPr>
        <w:t xml:space="preserve">  </w:t>
      </w:r>
      <w:r>
        <w:rPr>
          <w:vertAlign w:val="baseline"/>
        </w:rPr>
        <w:t xml:space="preserve">   </w:t>
      </w:r>
      <w:r>
        <w:rPr>
          <w:vertAlign w:val="baseline"/>
        </w:rPr>
        <w:t xml:space="preserve">dr. Szűcs László</w:t>
      </w:r>
      <w:r>
        <w:rPr>
          <w:vertAlign w:val="baseline"/>
        </w:rPr>
        <w:t xml:space="preserve"> ügyvéd </w:t>
      </w:r>
    </w:p>
    <w:p>
      <w:pPr>
        <w:jc w:val="left"/>
      </w:pPr>
      <w:r>
        <w:rPr>
          <w:b/>
          <w:vertAlign w:val="baseline"/>
        </w:rPr>
        <w:t xml:space="preserve">A per tárgya: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 </w:t>
      </w:r>
      <w:r>
        <w:rPr>
          <w:vertAlign w:val="baseline"/>
        </w:rPr>
        <w:t xml:space="preserve">jogalap nélküli gazdagodás</w:t>
      </w:r>
    </w:p>
    <w:p>
      <w:pPr>
        <w:jc w:val="both"/>
      </w:pPr>
      <w:r>
        <w:rPr>
          <w:b/>
          <w:vertAlign w:val="baseline"/>
        </w:rPr>
        <w:t xml:space="preserve">A felülvizsgálati kérelmet és felülvizsgálat engedélyezése iránti kérelmet benyújtó fél: </w:t>
      </w:r>
    </w:p>
    <w:p>
      <w:pPr>
        <w:jc w:val="both"/>
      </w:pPr>
      <w:r>
        <w:rPr>
          <w:b/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felperes</w:t>
      </w:r>
    </w:p>
    <w:p>
      <w:pPr>
        <w:jc w:val="left"/>
      </w:pPr>
      <w:r>
        <w:rPr>
          <w:b/>
          <w:vertAlign w:val="baseline"/>
        </w:rPr>
        <w:t xml:space="preserve">A másodfokú bíróság neve és a felülvizsgálni kért határozat száma: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Kecskeméti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2.Pf.20.843/2022/4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b/>
          <w:vertAlign w:val="baseline"/>
        </w:rPr>
        <w:t xml:space="preserve">Az elsőfokú bíróság neve és határozatának száma:</w:t>
      </w:r>
    </w:p>
    <w:p>
      <w:pPr>
        <w:jc w:val="left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Kiskőrösi Járásbíróság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2.P.20.424/2021/16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felülvizsgálatot megtagadja.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A végzés ellen felülvizsgálatnak nincs helye.</w:t>
      </w:r>
    </w:p>
    <w:p>
      <w:pPr>
        <w:jc w:val="center"/>
      </w:pPr>
      <w:r>
        <w:rPr>
          <w:b/>
          <w:vertAlign w:val="baseline"/>
        </w:rPr>
        <w:t xml:space="preserve">I n d o k o l á s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2016. február 13-án ideiglenes megállapodást kötött szarvasmarhák tartására az alperes fiával, és az általa megadott bankszámlaszámra átutalt 2016. február 15. és 2016. június 13. között több részletben </w:t>
      </w:r>
      <w:r>
        <w:rPr>
          <w:vertAlign w:val="baseline"/>
        </w:rPr>
        <w:t xml:space="preserve">400.000</w:t>
      </w:r>
      <w:r>
        <w:rPr>
          <w:vertAlign w:val="baseline"/>
        </w:rPr>
        <w:t xml:space="preserve"> forintot az állatok takarmányozására. Az alperes fia a szarvasmarhák tartásáért járó díja és a költségei megfizetése iránt pert indított (a továbbiakban: előzményi per), amelyben a felperes kölcsöntartozás címén viszontkeresettel követelte az átutalt </w:t>
      </w:r>
      <w:r>
        <w:rPr>
          <w:vertAlign w:val="baseline"/>
        </w:rPr>
        <w:t xml:space="preserve">400.000</w:t>
      </w:r>
      <w:r>
        <w:rPr>
          <w:vertAlign w:val="baseline"/>
        </w:rPr>
        <w:t xml:space="preserve"> forint visszafizetését. A bíróság viszontkeresetet elutasító jogerős ítéletének indokolása szerint a felperes nem kölcsönként, hanem az állatok takarmányozására teljesített fizetést.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az előzményi perben 2019. április 15-én tartott tárgyaláson az alperes fiának nyilatkozatából tudomást szerzett arról, hogy az a bankszámla, amelyre a </w:t>
      </w:r>
      <w:r>
        <w:rPr>
          <w:vertAlign w:val="baseline"/>
        </w:rPr>
        <w:t xml:space="preserve">400.000</w:t>
      </w:r>
      <w:r>
        <w:rPr>
          <w:vertAlign w:val="baseline"/>
        </w:rPr>
        <w:t xml:space="preserve"> forintot átutalta, az alperesé volt.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fizetési meghagyás kibocsátása iránti kérelemmel 2021. június 16-án indult, majd ellentmondás folytán perré alakult eljárásban előterjesztett keresetében a felperes az átutalt </w:t>
      </w:r>
      <w:r>
        <w:rPr>
          <w:vertAlign w:val="baseline"/>
        </w:rPr>
        <w:t xml:space="preserve">400.000</w:t>
      </w:r>
      <w:r>
        <w:rPr>
          <w:vertAlign w:val="baseline"/>
        </w:rPr>
        <w:t xml:space="preserve"> forint és 2019. április 15-től számított törvényes késedelmi kamata megfizetésére kérte kötelezni az alperest elsődlegesen jogalap nélküli gazdagodás, másodlagosan kártérítés címén.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alperes ellenkérelmében a követelés elévülésére hivatkozással is elutasítani kérte a keresetet.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az elévülési kifogással szemben azzal védekezett, hogy 2019. április 15-ig menthető okból nem érvényesíthette a követelését.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elsőfokú bíróság ítéletével jogalap nélküli gazdagodás [a </w:t>
      </w:r>
      <w:r>
        <w:rPr>
          <w:vertAlign w:val="baseline"/>
        </w:rPr>
        <w:t xml:space="preserve">Polgári Törvénykönyvről</w:t>
      </w:r>
      <w:r>
        <w:rPr>
          <w:vertAlign w:val="baseline"/>
        </w:rPr>
        <w:t xml:space="preserve"> szóló 2013. évi V. törvény (a továbbiakban: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) 6:579. § (1) bekezdés] címén kötelezte az alperest </w:t>
      </w:r>
      <w:r>
        <w:rPr>
          <w:vertAlign w:val="baseline"/>
        </w:rPr>
        <w:t xml:space="preserve">400.000</w:t>
      </w:r>
      <w:r>
        <w:rPr>
          <w:vertAlign w:val="baseline"/>
        </w:rPr>
        <w:t xml:space="preserve"> forint és 2020. április 22-től a kifizetés napjáig járó törvényes késedelmi kamata megfizetésére. Ezt meghaladóan a keresetet elutasította.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alperes fellebbezése folytán eljárt másodfokú bíróság ítéletével az elsőfokú ítélet nem fellebbezett részét nem érintette, fellebbezett rendelkezését megváltoztatta és a keresetet elutasította.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másodfokú bíróság a jogerős ítéletben abban a kérdésben foglalt állást, hogy a felperes jogalap nélküli gazdagodás címén előterjesztett elsődleges keresetével érvényesített követelés elévült-e. Megállapította, hogy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6:22. § (1) bekezdése szerinti ötéves elévülési idő a </w:t>
      </w:r>
      <w:r>
        <w:rPr>
          <w:vertAlign w:val="baseline"/>
        </w:rPr>
        <w:t xml:space="preserve">400.000</w:t>
      </w:r>
      <w:r>
        <w:rPr>
          <w:vertAlign w:val="baseline"/>
        </w:rPr>
        <w:t xml:space="preserve"> forintot kitevő egyes részösszegek átutalásától számítandó. Miután az utolsó részösszeg átutalása 2016. június 13-án történt, az annak visszakövetelésére vonatkozó elévülési határidő is eltelt még a fizetési meghagyás kibocsátása iránti kérelem előterjesztését megelőzően, 2021. június 13-án. A felperes azonban 2019. április 15-ig menthető okból nem érvényesíthette követelését, ugyanis csak ekkor jutott a tudomására, hogy az alperes számlájára fizetett, ezért vele szemben érvényesíthető az igénye. Az elévülés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6:24. § (1) bekezdése értelmében mindeddig nyugodott.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6:24. § (2) bekezdése szerint, amennyiben az akadály megszűnésétől számítva az elévülési időből egy évnél kevesebb van hátra, további egyéves határidőn belül a követelés még érvényesíthető. Az elévülés nyugvása azonban az adott esetben nem hosszabbította meg az elévülési időt, mert a nyugvást megelőző akadály megszűnésétől (2019. április 15.) számítottan a 2016-ban megkezdődött elévülésből még több mint egy év volt hátra. A felperes a követelését az elévülési határidő eltelte után bírósági úton nem érvényesíthette.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felülvizsgálati kérelmében – tartalma szerint –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6:22. § </w:t>
      </w:r>
      <w:r>
        <w:rPr>
          <w:vertAlign w:val="baseline"/>
        </w:rPr>
        <w:t xml:space="preserve">(1)-(2)</w:t>
      </w:r>
      <w:r>
        <w:rPr>
          <w:vertAlign w:val="baseline"/>
        </w:rPr>
        <w:t xml:space="preserve"> bekezdése, 6:24. § </w:t>
      </w:r>
      <w:r>
        <w:rPr>
          <w:vertAlign w:val="baseline"/>
        </w:rPr>
        <w:t xml:space="preserve">(1)-(2)</w:t>
      </w:r>
      <w:r>
        <w:rPr>
          <w:vertAlign w:val="baseline"/>
        </w:rPr>
        <w:t xml:space="preserve"> bekezdése, 6:579. § (1) bekezdése, valamint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170. §-a, 370. § (1) bekezdése, 371. § (1) bekezdés </w:t>
      </w:r>
      <w:r>
        <w:rPr>
          <w:i/>
          <w:vertAlign w:val="baseline"/>
        </w:rPr>
        <w:t xml:space="preserve">c)</w:t>
      </w:r>
      <w:r>
        <w:rPr>
          <w:vertAlign w:val="baseline"/>
        </w:rPr>
        <w:t xml:space="preserve">, </w:t>
      </w:r>
      <w:r>
        <w:rPr>
          <w:i/>
          <w:vertAlign w:val="baseline"/>
        </w:rPr>
        <w:t xml:space="preserve">d)</w:t>
      </w:r>
      <w:r>
        <w:rPr>
          <w:vertAlign w:val="baseline"/>
        </w:rPr>
        <w:t xml:space="preserve"> pontja, 369. § (3) bekezdés </w:t>
      </w:r>
      <w:r>
        <w:rPr>
          <w:i/>
          <w:vertAlign w:val="baseline"/>
        </w:rPr>
        <w:t xml:space="preserve">c)</w:t>
      </w:r>
      <w:r>
        <w:rPr>
          <w:vertAlign w:val="baseline"/>
        </w:rPr>
        <w:t xml:space="preserve"> pontja, 383. § (3) bekezdése megsértésére, továbbá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</w:t>
      </w:r>
      <w:r>
        <w:rPr>
          <w:vertAlign w:val="baseline"/>
        </w:rPr>
        <w:t xml:space="preserve">Pfv.20.007/2021/5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Pfv.20.019/2021/5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Pfv.20.656/2020/4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Pfv.20.560/2021/7</w:t>
      </w:r>
      <w:r>
        <w:rPr>
          <w:vertAlign w:val="baseline"/>
        </w:rPr>
        <w:t xml:space="preserve">. számú ítéleteitől jogkérdésben való eltérésre hivatkozással a jogerős ítélet hatályon kívül helyezését és az elsőfokú bíróság ítéletét helybenhagyó határozat hozatalát kérte. Előadta, hogy amíg az előzményi perben hozott jogerős ítélet nem zárta ki a követelése más jogalapját, nem érvényesíthetett igényt az alperessel szemben jogalap nélküli gazdagos címén. Az igényérvényesítés lehetősége az előzményi perben hozott jogerős ítélet közlésével, 2020. április 22-én nyílt meg. A követelése érvényesítését ezen kívül az is akadályozta, hogy bízhatott az alperes önkéntes teljesítésében. Ha pedig a követelése 2016-ban vált esedékessé – mint a másodfokú bíróság tévesen megállapította –, akkor az elévülés 2021. június 16-ig nyugodott, mert az alperes neve, címe ismeretének hiánya akadályozta a bírósági úton való igényérvényesítést. Az alperes címe a fizetési meghagyásra 2021. június 16-án előterjesztett ellentmondásból derült csak ki.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a felülvizsgálati kérelemmel együtt kérelmet nyújtott be a felülvizsgálat engedélyezése iránt, amelyet arra alapított, hogy a jogerős ítélet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</w:t>
      </w:r>
      <w:r>
        <w:rPr>
          <w:vertAlign w:val="baseline"/>
        </w:rPr>
        <w:t xml:space="preserve">Pfv.20.007/2021/5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Pfv.20.019/2021/5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Pfv.20.656/2020/4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Pfv.20.560/2021/7</w:t>
      </w:r>
      <w:r>
        <w:rPr>
          <w:vertAlign w:val="baseline"/>
        </w:rPr>
        <w:t xml:space="preserve">. számú ítéleteitől jogkérdésben eltér [Pp. 409. § (3) bekezdés].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engedélyezés iránti kérelemben előadta, hogy a másodfokú bíróság túllépte a fellebbezés korlátait, ezáltal a jogerős ítélet sérti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370. § (1) bekezdéséből következően alkalmazandó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371. § (1) bekezdés </w:t>
      </w:r>
      <w:r>
        <w:rPr>
          <w:i/>
          <w:vertAlign w:val="baseline"/>
        </w:rPr>
        <w:t xml:space="preserve">c)</w:t>
      </w:r>
      <w:r>
        <w:rPr>
          <w:vertAlign w:val="baseline"/>
        </w:rPr>
        <w:t xml:space="preserve"> és </w:t>
      </w:r>
      <w:r>
        <w:rPr>
          <w:i/>
          <w:vertAlign w:val="baseline"/>
        </w:rPr>
        <w:t xml:space="preserve">d)</w:t>
      </w:r>
      <w:r>
        <w:rPr>
          <w:vertAlign w:val="baseline"/>
        </w:rPr>
        <w:t xml:space="preserve"> pontjában, 369. § (3) bekezdés </w:t>
      </w:r>
      <w:r>
        <w:rPr>
          <w:i/>
          <w:vertAlign w:val="baseline"/>
        </w:rPr>
        <w:t xml:space="preserve">c)</w:t>
      </w:r>
      <w:r>
        <w:rPr>
          <w:vertAlign w:val="baseline"/>
        </w:rPr>
        <w:t xml:space="preserve"> pontjában, 383. § (3) bekezdésében foglaltakat, valamint a Kúria </w:t>
      </w:r>
      <w:r>
        <w:rPr>
          <w:vertAlign w:val="baseline"/>
        </w:rPr>
        <w:t xml:space="preserve">Pfv.20.656/2020/4</w:t>
      </w:r>
      <w:r>
        <w:rPr>
          <w:vertAlign w:val="baseline"/>
        </w:rPr>
        <w:t xml:space="preserve">. számú határozatának az ítélkezési gyakorlatra hivatkozó kötelező iránymutatását.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egyebekben arra hivatkozott, hogy a jogalap nélküli gazdagodás visszafizetésének esedékessé válásáról jogszabály nem rendelkezik, ezt pótolja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ítélkezési gyakorlata. A másodfokú bíróság a közzétett ítélkezési gyakorlattól eltérően foglalt állást, amikor azt állapította meg, hogy a téves helyre utalt összeg visszakövetelése az átutaláskor nyomban esedékessé vált. A Kúria </w:t>
      </w:r>
      <w:r>
        <w:rPr>
          <w:vertAlign w:val="baseline"/>
        </w:rPr>
        <w:t xml:space="preserve">Pfv.20.007/2021/5</w:t>
      </w:r>
      <w:r>
        <w:rPr>
          <w:vertAlign w:val="baseline"/>
        </w:rPr>
        <w:t xml:space="preserve">. számú ítélete [50] bekezdésében foglaltak szerint a követelés akkor válik esedékessé, amikor a bíróság előtti igényérvényesítés lehetősége megnyílik. A Kúria </w:t>
      </w:r>
      <w:r>
        <w:rPr>
          <w:vertAlign w:val="baseline"/>
        </w:rPr>
        <w:t xml:space="preserve">Pfv.20.019/2021/5</w:t>
      </w:r>
      <w:r>
        <w:rPr>
          <w:vertAlign w:val="baseline"/>
        </w:rPr>
        <w:t xml:space="preserve">. számú ítélete [29] bekezdése pedig azt tartalmazza, hogy az „rPtk.” 326. § (1) bekezdése értelmében az elévülés akkor kezdődik, amikor a követelés esedékessé válik, azaz amikor megnyílik a bíróság előtti igényérvényesítés lehetősége</w:t>
      </w:r>
      <w:r>
        <w:rPr>
          <w:i/>
          <w:vertAlign w:val="baseline"/>
        </w:rPr>
        <w:t xml:space="preserve">.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szerint a másodfokú bíróság a követelés elévülésének nyugvását is tévesen állapította meg. Döntése ellentétes a Kúria </w:t>
      </w:r>
      <w:r>
        <w:rPr>
          <w:vertAlign w:val="baseline"/>
        </w:rPr>
        <w:t xml:space="preserve">Pfv.20.560/2021/7</w:t>
      </w:r>
      <w:r>
        <w:rPr>
          <w:vertAlign w:val="baseline"/>
        </w:rPr>
        <w:t xml:space="preserve">. számú ítéletével, amelynek [52] bekezdése szerint menthető ok, hogy a felperes bízhatott az alperes önkéntes teljesítésében. Az ítélet [55] bekezdése pedig azt tartalmazza, hogy az elévülés mindaddig nyugodott, amíg az igényérvényesítés utolsó akadálya is fennállt. A jelen esetben akadálya volt a bíróság előtti igényérvényesítésnek, hogy nem volt ismert az alperes neve és címe.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felülvizsgálat engedélyezése iránti kérelme az alábbiakra tekintettel nem megalapozott.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409. § (3) bekezdése alapján a felülvizsgálatot akkor engedélyezi, ha az ítélet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határozatától jogkérdésben eltér.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Kúria </w:t>
      </w:r>
      <w:r>
        <w:rPr>
          <w:vertAlign w:val="baseline"/>
        </w:rPr>
        <w:t xml:space="preserve">Pfv.20.656/2020/4</w:t>
      </w:r>
      <w:r>
        <w:rPr>
          <w:vertAlign w:val="baseline"/>
        </w:rPr>
        <w:t xml:space="preserve">. számú határozata tekintetében a felperes engedélyezés iránti kérelme nem volt érdemben vizsgálható.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410. § (2) bekezdés </w:t>
      </w:r>
      <w:r>
        <w:rPr>
          <w:i/>
          <w:vertAlign w:val="baseline"/>
        </w:rPr>
        <w:t xml:space="preserve">cd)</w:t>
      </w:r>
      <w:r>
        <w:rPr>
          <w:vertAlign w:val="baseline"/>
        </w:rPr>
        <w:t xml:space="preserve"> pontja szerint ugyanis a felülvizsgálat engedélyezése iránti kérelemben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határozatának azt a részét is meg kell jelölni, amelytől a felülvizsgálattal támadott ítéleti rendelkezés jogkérdésben eltér. A felperes azonban nem jelölte meg az általa hivatkozott határozatnak ezt a részét.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 engedélyezése a polgári eljárás elkülönülő, önálló kérelemre induló és a kérelem elbírálásával befejeződő szakasza, amelyet eredményessége esetén követ az eljárás felülvizsgálati kérelmen alapuló szakasza, a két kérelem között így tartalmi összefüggés áll fenn (Kúria </w:t>
      </w:r>
      <w:r>
        <w:rPr>
          <w:vertAlign w:val="baseline"/>
        </w:rPr>
        <w:t xml:space="preserve">Pfv.VI.20.764/2020/3</w:t>
      </w:r>
      <w:r>
        <w:rPr>
          <w:vertAlign w:val="baseline"/>
        </w:rPr>
        <w:t xml:space="preserve">., megjelent: </w:t>
      </w:r>
      <w:r>
        <w:rPr>
          <w:vertAlign w:val="baseline"/>
        </w:rPr>
        <w:t xml:space="preserve">BH</w:t>
      </w:r>
      <w:r>
        <w:rPr>
          <w:vertAlign w:val="baseline"/>
        </w:rPr>
        <w:t xml:space="preserve">:2020. 366.).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Pfv.20.007/2015/5</w:t>
      </w:r>
      <w:r>
        <w:rPr>
          <w:vertAlign w:val="baseline"/>
        </w:rPr>
        <w:t xml:space="preserve">. és </w:t>
      </w:r>
      <w:r>
        <w:rPr>
          <w:vertAlign w:val="baseline"/>
        </w:rPr>
        <w:t xml:space="preserve">Pfv.20.019/2021/5</w:t>
      </w:r>
      <w:r>
        <w:rPr>
          <w:vertAlign w:val="baseline"/>
        </w:rPr>
        <w:t xml:space="preserve">. számú ítéleteiben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– az engedélyezés iránti kérelemben előadottakkal szemben – nem a jogalap nélküli gazdagodás visszakövetelésének esedékességéről foglalt állást. Az előbbi ítélet [50] bekezdésében a </w:t>
      </w:r>
      <w:r>
        <w:rPr>
          <w:vertAlign w:val="baseline"/>
        </w:rPr>
        <w:t xml:space="preserve">Polgári Törvénykönyvről</w:t>
      </w:r>
      <w:r>
        <w:rPr>
          <w:vertAlign w:val="baseline"/>
        </w:rPr>
        <w:t xml:space="preserve"> szóló 1959. évi </w:t>
      </w:r>
      <w:r>
        <w:rPr>
          <w:vertAlign w:val="baseline"/>
        </w:rPr>
        <w:t xml:space="preserve">IV.</w:t>
      </w:r>
      <w:r>
        <w:rPr>
          <w:vertAlign w:val="baseline"/>
        </w:rPr>
        <w:t xml:space="preserve"> törvény (a továbbiakban: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) 582. § (3) bekezdésére alapított, ajándék visszakövetelése címén fennálló követelés esedékességéről fejtette ki a jogi álláspontját. Az utóbbi ítélet [29] bekezdésében pedig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203. § (1) bekezdésére alapított hatálytalansági igény esedékessé válását elemezte. Mindkét határozatában a régi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326. § (1) bekezdését értelmezte. A felperes viszont a felülvizsgálati kérelmében más jogszabályok, a </w:t>
      </w:r>
      <w:r>
        <w:rPr>
          <w:vertAlign w:val="baseline"/>
        </w:rPr>
        <w:t xml:space="preserve">Ptk.</w:t>
      </w:r>
      <w:r>
        <w:rPr>
          <w:vertAlign w:val="baseline"/>
        </w:rPr>
        <w:t xml:space="preserve"> 6:579. § (1) bekezdése és 6:22. § (2) bekezdése megsértésére hivatkozott.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Pfv.20.560/2021/7</w:t>
      </w:r>
      <w:r>
        <w:rPr>
          <w:vertAlign w:val="baseline"/>
        </w:rPr>
        <w:t xml:space="preserve">. számú ítélet [52] és [55] bekezdésében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elévülés nyugvását olyan menthető okra tekintettel állapította meg, amelyre a felperes az eljárás korábbi szakaszaiban nem, csak a felülvizsgálati kérelmében hivatkozott. A jogerős ítélet azonban a következetes bírói gyakorlat értelmében csak abban a kérdésben támadható felülvizsgálati kérelemmel, amely az első- és másodfokú eljárásnak is tárgya volt (Kúria </w:t>
      </w:r>
      <w:r>
        <w:rPr>
          <w:vertAlign w:val="baseline"/>
        </w:rPr>
        <w:t xml:space="preserve">Pfv.V.20.797/2016/11</w:t>
      </w:r>
      <w:r>
        <w:rPr>
          <w:vertAlign w:val="baseline"/>
        </w:rPr>
        <w:t xml:space="preserve">., megjelent: </w:t>
      </w:r>
      <w:r>
        <w:rPr>
          <w:vertAlign w:val="baseline"/>
        </w:rPr>
        <w:t xml:space="preserve">BH2017</w:t>
      </w:r>
      <w:r>
        <w:rPr>
          <w:vertAlign w:val="baseline"/>
        </w:rPr>
        <w:t xml:space="preserve">. 232.). Ennek megfelelően a felülvizsgálati kérelemben hivatkozott menthető okok vizsgálatára – engedélyezés esetén – az érdemi felülvizsgálat során nem kerülhetne sor. Olyan hivatkozás alapján, amely az érdemi felülvizsgálat körében nem vizsgálható, a felülvizsgálat nem engedélyezhető (Kúria </w:t>
      </w:r>
      <w:r>
        <w:rPr>
          <w:vertAlign w:val="baseline"/>
        </w:rPr>
        <w:t xml:space="preserve">Pfv.V.21.305/2020/2</w:t>
      </w:r>
      <w:r>
        <w:rPr>
          <w:vertAlign w:val="baseline"/>
        </w:rPr>
        <w:t xml:space="preserve">., megjelent: </w:t>
      </w:r>
      <w:r>
        <w:rPr>
          <w:vertAlign w:val="baseline"/>
        </w:rPr>
        <w:t xml:space="preserve">BH2021</w:t>
      </w:r>
      <w:r>
        <w:rPr>
          <w:vertAlign w:val="baseline"/>
        </w:rPr>
        <w:t xml:space="preserve">. 136.).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Mindezekre</w:t>
      </w:r>
      <w:r>
        <w:rPr>
          <w:vertAlign w:val="baseline"/>
        </w:rPr>
        <w:t xml:space="preserve"> tekintettel a felperes kérelmében hivatkozott okból nem volt engedélyezhető a felülvizsgálat, ezért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411. § </w:t>
      </w:r>
      <w:r>
        <w:rPr>
          <w:vertAlign w:val="baseline"/>
        </w:rPr>
        <w:t xml:space="preserve">(1)-(2)</w:t>
      </w:r>
      <w:r>
        <w:rPr>
          <w:vertAlign w:val="baseline"/>
        </w:rPr>
        <w:t xml:space="preserve"> bekezdése alapján a jogerős ítélet felülvizsgálatát megtagadta.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végzése ellen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407. § (1) bekezdés </w:t>
      </w:r>
      <w:r>
        <w:rPr>
          <w:i/>
          <w:vertAlign w:val="baseline"/>
        </w:rPr>
        <w:t xml:space="preserve">d)</w:t>
      </w:r>
      <w:r>
        <w:rPr>
          <w:vertAlign w:val="baseline"/>
        </w:rPr>
        <w:t xml:space="preserve"> pontja alapján nincs helye felülvizsgálatnak.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Budapest, 2023. január 24.</w:t>
      </w:r>
    </w:p>
    <w:p>
      <w:pPr>
        <w:jc w:val="left"/>
      </w:pP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Dr. Szabó Klára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Magosi Szilvia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Mocsár Attila Zsolt</w:t>
      </w:r>
      <w:r>
        <w:rPr>
          <w:vertAlign w:val="baseline"/>
        </w:rPr>
        <w:t xml:space="preserve"> s.k. bíró, </w:t>
      </w:r>
      <w:r>
        <w:rPr>
          <w:vertAlign w:val="baseline"/>
        </w:rPr>
        <w:t xml:space="preserve">Nyírőné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Kiss Ildikó</w:t>
      </w:r>
      <w:r>
        <w:rPr>
          <w:vertAlign w:val="baseline"/>
        </w:rPr>
        <w:t xml:space="preserve"> s.k. bíró, </w:t>
      </w:r>
      <w:r>
        <w:rPr>
          <w:vertAlign w:val="baseline"/>
        </w:rPr>
        <w:t xml:space="preserve">Dr. Parlagi Mátyás</w:t>
      </w:r>
      <w:r>
        <w:rPr>
          <w:vertAlign w:val="baseline"/>
        </w:rPr>
        <w:t xml:space="preserve"> s.k. bíró</w:t>
      </w:r>
    </w:p>
    <w:p>
      <w:pPr>
        <w:jc w:val="left"/>
      </w:pPr>
      <w:r>
        <w:rPr>
          <w:vertAlign w:val="baseline"/>
        </w:rPr>
        <w:t xml:space="preserve"> 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BF" w:rsidRDefault="000C40BF" w:rsidP="0014128E">
      <w:pPr>
        <w:spacing w:after="0"/>
      </w:pPr>
      <w:r>
        <w:separator/>
      </w:r>
    </w:p>
  </w:endnote>
  <w:endnote w:type="continuationSeparator" w:id="0">
    <w:p w:rsidR="000C40BF" w:rsidRDefault="000C40BF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0C40BF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BF" w:rsidRDefault="000C40BF" w:rsidP="0014128E">
      <w:pPr>
        <w:spacing w:after="0"/>
      </w:pPr>
      <w:r>
        <w:separator/>
      </w:r>
    </w:p>
  </w:footnote>
  <w:footnote w:type="continuationSeparator" w:id="0">
    <w:p w:rsidR="000C40BF" w:rsidRDefault="000C40BF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F6BAD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>
      <w:rPr>
        <w:noProof/>
      </w:rPr>
      <w:t>2</w:t>
    </w:r>
    <w:r w:rsidR="000061FE">
      <w:fldChar w:fldCharType="end"/>
    </w:r>
  </w:p>
  <w:p w:rsidR="001F6BAD" w:rsidRDefault="001F6BAD">
    <w:pPr>
      <w:pStyle w:val="lfej"/>
    </w:pPr>
    <w:r>
      <w:t>I.Pfv.21.298/2022/2</w: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445C9F" w:rsidRDefault="0079103E">
    <w:pPr>
      <w:pStyle w:val="lfej"/>
      <w:spacing w:after="480"/>
      <w:jc w:val="center"/>
    </w:pPr>
    <w:r>
      <w:rPr>
        <w:noProof/>
        <w:lang w:eastAsia="hu-HU"/>
      </w:rPr>
      <w:drawing>
        <wp:inline distT="0" distB="0" distL="0" distR="0">
          <wp:extent cx="277495" cy="594995"/>
          <wp:effectExtent l="0" t="0" r="8255" b="0"/>
          <wp:docPr id="4" name="Kép 31" descr="https://net.jogtar.hu/get-doc-resource?resourceid=gp2_16_A1100425$BATV__999_a1100999tv$Acimer$Bbmp_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1" descr="https://net.jogtar.hu/get-doc-resource?resourceid=gp2_16_A1100425$BATV__999_a1100999tv$Acimer$Bbmp_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7495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5723F"/>
    <w:rsid w:val="0008220C"/>
    <w:rsid w:val="00091769"/>
    <w:rsid w:val="000C40BF"/>
    <w:rsid w:val="000F498D"/>
    <w:rsid w:val="00104139"/>
    <w:rsid w:val="0014128E"/>
    <w:rsid w:val="001719C9"/>
    <w:rsid w:val="001F6BAD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757E57"/>
    <w:rsid w:val="007660D3"/>
    <w:rsid w:val="0079103E"/>
    <w:rsid w:val="008333F1"/>
    <w:rsid w:val="00853160"/>
    <w:rsid w:val="008E2EA8"/>
    <w:rsid w:val="00A06AEC"/>
    <w:rsid w:val="00B54D1F"/>
    <w:rsid w:val="00B76174"/>
    <w:rsid w:val="00BE3D8F"/>
    <w:rsid w:val="00CD4772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66767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37C2-570C-481A-B7AB-8B97A1A6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2020-01-21T10:07:00Z</dcterms:modified>
</cp:coreProperties>
</file>