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Pfv.I.20.905/2021/4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Szabó Klára</w:t>
      </w:r>
      <w:r>
        <w:rPr>
          <w:vertAlign w:val="baseline"/>
        </w:rPr>
        <w:t xml:space="preserve"> a tanács elnöke, </w:t>
      </w:r>
      <w:r>
        <w:rPr>
          <w:vertAlign w:val="baseline"/>
        </w:rPr>
        <w:t xml:space="preserve">dr. Parlagi Mátyás</w:t>
      </w:r>
      <w:r>
        <w:rPr>
          <w:vertAlign w:val="baseline"/>
        </w:rPr>
        <w:t xml:space="preserve"> előadó bíró, </w:t>
      </w:r>
      <w:r>
        <w:rPr>
          <w:vertAlign w:val="baseline"/>
        </w:rPr>
        <w:t xml:space="preserve">dr. Harter Mária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felperes:</w:t>
      </w:r>
      <w:r>
        <w:rPr>
          <w:vertAlign w:val="baseline"/>
        </w:rPr>
        <w:t xml:space="preserve">F</w:t>
      </w:r>
      <w:r>
        <w:rPr>
          <w:vertAlign w:val="baseline"/>
        </w:rPr>
        <w:t xml:space="preserve">e</w:t>
      </w:r>
      <w:r>
        <w:rPr>
          <w:vertAlign w:val="baseline"/>
        </w:rPr>
        <w:t xml:space="preserve">l</w:t>
      </w:r>
      <w:r>
        <w:rPr>
          <w:vertAlign w:val="baseline"/>
        </w:rPr>
        <w:t xml:space="preserve">p</w:t>
      </w:r>
      <w:r>
        <w:rPr>
          <w:vertAlign w:val="baseline"/>
        </w:rPr>
        <w:t xml:space="preserve">e</w:t>
      </w:r>
      <w:r>
        <w:rPr>
          <w:vertAlign w:val="baseline"/>
        </w:rPr>
        <w:t xml:space="preserve">r</w:t>
      </w:r>
      <w:r>
        <w:rPr>
          <w:vertAlign w:val="baseline"/>
        </w:rPr>
        <w:t xml:space="preserve">e</w:t>
      </w:r>
      <w:r>
        <w:rPr>
          <w:vertAlign w:val="baseline"/>
        </w:rPr>
        <w:t xml:space="preserve">s</w:t>
      </w:r>
      <w:r>
        <w:rPr>
          <w:vertAlign w:val="baseline"/>
        </w:rPr>
        <w:t xml:space="preserve">1</w:t>
      </w:r>
    </w:p>
    <w:p>
      <w:pPr>
        <w:jc w:val="both"/>
      </w:pPr>
      <w:r>
        <w:rPr>
          <w:b/>
          <w:vertAlign w:val="baseline"/>
        </w:rPr>
        <w:t xml:space="preserve">A felperes képviselője: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Alperes1</w:t>
      </w:r>
    </w:p>
    <w:p>
      <w:pPr>
        <w:jc w:val="both"/>
      </w:pPr>
      <w:r>
        <w:rPr>
          <w:b/>
          <w:vertAlign w:val="baseline"/>
        </w:rPr>
        <w:t xml:space="preserve">Az alperes képviselője: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Dobos István</w:t>
      </w:r>
      <w:r>
        <w:rPr>
          <w:vertAlign w:val="baseline"/>
        </w:rPr>
        <w:t xml:space="preserve"> ügyvéd 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left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térítési díj megállapítása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 </w:t>
      </w:r>
      <w:r>
        <w:rPr>
          <w:vertAlign w:val="baseline"/>
        </w:rPr>
        <w:t xml:space="preserve">alperes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b/>
          <w:vertAlign w:val="baseline"/>
        </w:rPr>
        <w:t xml:space="preserve">A másodfokú bíróság neve és a felülvizsgálni kért jogerős határozat száma: </w:t>
      </w:r>
    </w:p>
    <w:p>
      <w:pPr>
        <w:jc w:val="both"/>
      </w:pPr>
      <w:r>
        <w:rPr>
          <w:vertAlign w:val="baseline"/>
        </w:rPr>
        <w:t xml:space="preserve">Székesfehérvári </w:t>
      </w:r>
      <w:r>
        <w:rPr>
          <w:vertAlign w:val="baseline"/>
        </w:rPr>
        <w:t xml:space="preserve">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2.Pf.22/2021/6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b/>
          <w:vertAlign w:val="baseline"/>
        </w:rPr>
        <w:t xml:space="preserve">Az elsőfokú bíróság neve és határozatának száma: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Székesfehérvári </w:t>
      </w:r>
      <w:r>
        <w:rPr>
          <w:vertAlign w:val="baseline"/>
        </w:rPr>
        <w:t xml:space="preserve">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10.P.20.282/2020/23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felülvizsgálatot megtagadja.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 le nem rótt 10.000 (tízezer) forint felülvizsgálat engedélyezése iránti kérelem illetéke az állam terhén marad.</w:t>
      </w:r>
    </w:p>
    <w:p>
      <w:pPr>
        <w:jc w:val="left"/>
      </w:pPr>
      <w:r>
        <w:rPr>
          <w:vertAlign w:val="baseline"/>
        </w:rPr>
        <w:t xml:space="preserve">A végzés ellen felülvizsgálatnak nincs helye.</w:t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keresetében 2020. február 1-től havi 94.665 forintban kérte a személyi térítési díj megállapítását.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 elsődlegesen az eljárás megszüntetését, másodlagosan a kereset elutasítását kérte. Hivatkozott a rendkívüli jövedelemvizsgálat lefolytatásának a hiányára, a perindítási határidő elmulasztására, valamint a felperes teljesítőképességére.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elsőfokú bíróság az alperesnek fizetendő személyi térítési díjat 2020. február 1-től 94.665 forintban állapította meg.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Indokolása</w:t>
      </w:r>
      <w:r>
        <w:rPr>
          <w:vertAlign w:val="baseline"/>
        </w:rPr>
        <w:t xml:space="preserve"> szerint a jövedelemhányad nem haladhatja meg a szociális igazgatásról és szociális ellátásokról szóló 1993. évi </w:t>
      </w:r>
      <w:r>
        <w:rPr>
          <w:vertAlign w:val="baseline"/>
        </w:rPr>
        <w:t xml:space="preserve">III.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Szoctv.</w:t>
      </w:r>
      <w:r>
        <w:rPr>
          <w:vertAlign w:val="baseline"/>
        </w:rPr>
        <w:t xml:space="preserve">) 117. § (2)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pontjában meghatározott mértéket. A felperes keresetét határidőben terjesztette elő, mert 2020. január 24-én vette át a felperes méltányossági megállapodás elnevezésű okiratát. A pert nem kellett más eljárásnak megelőznie. Az elsőfokú bíróság összegszerűségében is alaposnak ítélte a keresetet.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 fellebbezése folytán eljárt másodfokú bíróság az elsőfokú bíróság ítéletét helybenhagyta.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Indokolása</w:t>
      </w:r>
      <w:r>
        <w:rPr>
          <w:vertAlign w:val="baseline"/>
        </w:rPr>
        <w:t xml:space="preserve"> szerint az elsőfokú bíróság a tényállást helyesen állapította meg, helyesen következtetett a pergátló akadály hiányára, valamint indokolási kötelezettségének is eleget tett. A </w:t>
      </w:r>
      <w:r>
        <w:rPr>
          <w:vertAlign w:val="baseline"/>
        </w:rPr>
        <w:t xml:space="preserve">Szoctv.</w:t>
      </w:r>
      <w:r>
        <w:rPr>
          <w:vertAlign w:val="baseline"/>
        </w:rPr>
        <w:t xml:space="preserve"> rendelkezései alapján a felperesnek nem kellett rendkívüli jövedelemvizsgálatot kezdeményeznie, mert jövedelmi és vagyoni viszonyaiban nem következett be olyan változás, amely miatt ne lett volna képes a korábban aláírt megállapodásban rögzített személyi térítési díj megfizetésére. A </w:t>
      </w:r>
      <w:r>
        <w:rPr>
          <w:vertAlign w:val="baseline"/>
        </w:rPr>
        <w:t xml:space="preserve">Szoctv.</w:t>
      </w:r>
      <w:r>
        <w:rPr>
          <w:vertAlign w:val="baseline"/>
        </w:rPr>
        <w:t xml:space="preserve"> 119/C. § (2) bekezdése szerinti eljárás nem azonos a </w:t>
      </w:r>
      <w:r>
        <w:rPr>
          <w:vertAlign w:val="baseline"/>
        </w:rPr>
        <w:t xml:space="preserve">Szoctv.</w:t>
      </w:r>
      <w:r>
        <w:rPr>
          <w:vertAlign w:val="baseline"/>
        </w:rPr>
        <w:t xml:space="preserve"> 102. § (2) bekezdésében szabályozott rendkívüli vizsgálattal, így nem volt helye az eljárás megszüntetésének.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Alaptalannak</w:t>
      </w:r>
      <w:r>
        <w:rPr>
          <w:vertAlign w:val="baseline"/>
        </w:rPr>
        <w:t xml:space="preserve"> ítélte a perindítási határidő elmulasztására alapított alperesi hivatkozást is. A </w:t>
      </w:r>
      <w:r>
        <w:rPr>
          <w:vertAlign w:val="baseline"/>
        </w:rPr>
        <w:t xml:space="preserve">Szoctv.</w:t>
      </w:r>
      <w:r>
        <w:rPr>
          <w:vertAlign w:val="baseline"/>
        </w:rPr>
        <w:t xml:space="preserve"> 11. § (3) bekezdése a határidő elmulasztásához nem fűz jogvesztést, így az elévülési jellegű. A 2020. január 2-i személyi térítési díjközlés tartalma alapján az alperes a decemberi közlést nem tartotta fenn, így a januári közlést kell hatályosnak tekinteni, ezért a felperes megtartotta a perindítási határidőt.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Alaptalannak</w:t>
      </w:r>
      <w:r>
        <w:rPr>
          <w:vertAlign w:val="baseline"/>
        </w:rPr>
        <w:t xml:space="preserve"> ítélte az alperesnek azt a hivatkozását, miszerint az elsőfokú bíróság úgy fogadta be a felperes beadványait, hogy azok nem feleltek meg az alaki követelményeknek. Eseti jelleggel előfordult az alakszerűségi hiány, de az elsőfokú bíróság ezt pótoltatta. Ez elmaradt a 8. sorszámú beadványnál, de ez nem olyan lényeges eljárási hiba, ami miatt az eljárás megismétlésére lenne szükség, mert nem hatott ki az ügy érdemi eldöntésére. Álláspontja szerint a felperes kereseti kérelme a hiánypótlást követően határozott volt. Az elsőfokú bíróság nem hivatalból rendelt el bizonyítást, hanem az anyagi pervezetés körében hívta fel az alperest nyilatkozattételre. Az elsőfokú bíróság nem terjeszkedett túl a kereseti kérelmen, mert a felperes egyértelmű nyilatkozatot tett arról, hogy a december 10-i közlés milyen okból nem elfogadható. Az elsőfokú bíróság azért 2020. február 1-től állapította meg az új térítési díjat, mert a kereset erre vonatkozott, az új és a régi térítési díj különbözetéről kérelem hiányában nem kellett rendelkeznie.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jogerős ítélet ellen az alperes terjesztett elő felülvizsgálati kérelmet, amelyhez felülvizsgálat engedélyezése iránti kérelmet (a továbbiakban: kérelem) is csatolt, de nem jelölte meg, hogy a felülvizsgálat milyen okból kizárt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408. §-a alapján.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kérte,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(2) bekezdés </w:t>
      </w:r>
      <w:r>
        <w:rPr>
          <w:i/>
          <w:vertAlign w:val="baseline"/>
        </w:rPr>
        <w:t xml:space="preserve">a)</w:t>
      </w:r>
      <w:r>
        <w:rPr>
          <w:vertAlign w:val="baseline"/>
        </w:rPr>
        <w:t xml:space="preserve"> pontja alapján a joggyakorlat egységének biztosítása miatt,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(2) bekezdés </w:t>
      </w:r>
      <w:r>
        <w:rPr>
          <w:i/>
          <w:vertAlign w:val="baseline"/>
        </w:rPr>
        <w:t xml:space="preserve">b)</w:t>
      </w:r>
      <w:r>
        <w:rPr>
          <w:vertAlign w:val="baseline"/>
        </w:rPr>
        <w:t xml:space="preserve"> pontja alapján a felvetett jogkérdés különleges súlyára és társadalmi jelentőségére alapítva, valamint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(3) bekezdése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jogkérdésben való eltérés miatt engedélyezze a felülvizsgálatot.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joggyakorlat egységének biztosítása érdekében azért tartotta indokoltnak az engedélyezést, mert a </w:t>
      </w:r>
      <w:r>
        <w:rPr>
          <w:vertAlign w:val="baseline"/>
        </w:rPr>
        <w:t xml:space="preserve">Szoctv.</w:t>
      </w:r>
      <w:r>
        <w:rPr>
          <w:vertAlign w:val="baseline"/>
        </w:rPr>
        <w:t xml:space="preserve"> 102. § (2) bekezdése nem egyértelműen határozza meg, hogy mely esetekben szükséges rendkívüli jövedelemvizsgálat lefolytatása, valamint a jogerős ítélet álláspontjából az következik, hogy a perjogi szabályok szükségtelenek, azok csak iránymutatások.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felvetett jogkérdés különleges súlya és társadalmi jelentősége körében arra hivatkozott, hogy a rendkívüli jövedelemvizsgálat lefolytatása és az eljárási jogszabályok kötelező betartása körében nincs egyértelmű bírósági gyakorlat. A szociális ágazatban működő szervezeteknek különösen fontos, hogy a gyakorlatuk egyértelmű legyen, és az első- és másodfokú bíróságon több mint tíz ilyen jellegű per indult. A jogkérdés különleges társadalmi jelentőségű, mert a szociális szervezeteknek rendszeresen meg kell állapítaniuk a térítési díj összegét és erről értesíteniük kell az ellátottakat.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jogkérdésben való eltérés körében arra hivatkozott, hogy a felperes keresete nem volt határozott, mégis érdemben elbírálták (Kúria </w:t>
      </w:r>
      <w:r>
        <w:rPr>
          <w:vertAlign w:val="baseline"/>
        </w:rPr>
        <w:t xml:space="preserve">Pfv.21.951/2016/7</w:t>
      </w:r>
      <w:r>
        <w:rPr>
          <w:vertAlign w:val="baseline"/>
        </w:rPr>
        <w:t xml:space="preserve">.), a jogerős ítélet nem tartalmazza az indokolás előírt tartalmi elemeit (Kúria </w:t>
      </w:r>
      <w:r>
        <w:rPr>
          <w:vertAlign w:val="baseline"/>
        </w:rPr>
        <w:t xml:space="preserve">Kfv.37.462/2020/8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Pfv.20.634/2020/14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Pfv.20.256/2020/8</w:t>
      </w:r>
      <w:r>
        <w:rPr>
          <w:vertAlign w:val="baseline"/>
        </w:rPr>
        <w:t xml:space="preserve">.), a másodfokú bíróság helyt adott a perindítási határidőn túl előterjesztett keresetnek (Kúria </w:t>
      </w:r>
      <w:r>
        <w:rPr>
          <w:vertAlign w:val="baseline"/>
        </w:rPr>
        <w:t xml:space="preserve">Pfv.20.130/2020/4</w:t>
      </w:r>
      <w:r>
        <w:rPr>
          <w:vertAlign w:val="baseline"/>
        </w:rPr>
        <w:t xml:space="preserve">.), helytelenül alkalmazta a bizonyítási érdek szabályát, mert a felperes nem bizonyította állításait (Kúria </w:t>
      </w:r>
      <w:r>
        <w:rPr>
          <w:vertAlign w:val="baseline"/>
        </w:rPr>
        <w:t xml:space="preserve">Pfv.21.550/2019/11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Pfv.21.289/2019/6</w:t>
      </w:r>
      <w:r>
        <w:rPr>
          <w:vertAlign w:val="baseline"/>
        </w:rPr>
        <w:t xml:space="preserve">.), valamint a jogerős ítélet sérti a jogbiztonságot és a tisztességes eljáráshoz való jogot, mert a bíróságok alkotmányos jelentőségű szabályokat hagytak figyelmen kívül (Kúria </w:t>
      </w:r>
      <w:r>
        <w:rPr>
          <w:vertAlign w:val="baseline"/>
        </w:rPr>
        <w:t xml:space="preserve">Pfv.20.305/2017/9</w:t>
      </w:r>
      <w:r>
        <w:rPr>
          <w:vertAlign w:val="baseline"/>
        </w:rPr>
        <w:t xml:space="preserve">.).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 engedélyezésével kapcsolatos egyes kérdésekről szóló </w:t>
      </w:r>
      <w:r>
        <w:rPr>
          <w:vertAlign w:val="baseline"/>
        </w:rPr>
        <w:t xml:space="preserve">1/2021</w:t>
      </w:r>
      <w:r>
        <w:rPr>
          <w:vertAlign w:val="baseline"/>
        </w:rPr>
        <w:t xml:space="preserve">. (VII. 12.)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(a továbbiakban: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vélemény) 6. és 7. pontja alapján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 engedélyezésének szükségességét hivatalból vizsgálja, ugyanakkor a felülvizsgálat engedélyezése minden esetben a fél kérelmén alapul, azon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nem terjeszkedhet túl, azzal kapcsolatban csak a kérelemben foglaltakat vizsgálja.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kérelmében nem indokolta a felülvizsgálat kizártságát. A perben érvényesített igény a fél vagyoni jogain alapul, ezért a per vagyonjogi pernek minősül [Pp. 7. § (1) bekezdés 18. pont]. Az elsőfokú bíróság ítéletét a másodfokú bíróság az indokolás jelentős kiegészítésével hagyta helyben, ezért a felülvizsgálat nem kizárt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408. § (2) bekezdése alapján figyelemmel a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11. pontjára is. A felülvizsgálati kérelemben vitatott érték nem éri el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408. § (1) bekezdése szerinti értékhatárt, továbbá a per nem tartozik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408. § (1) bekezdés második mondatában meghatározott kivételek közé, ezért a felülvizsgálat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408. § (1) bekezdése alapján kizárt, így az alperes kérelmét érdemben kellett vizsgálni.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1. pontja szerint a joggyakorlat egységének biztosítása miatt történő engedélyezés feltétele, hogy az adott elvi jelentőségű jogkérdésben a bírói gyakorlat nem egységes vagy a joggyakorlattól eltérő bírói döntés megismétlődésének, ezáltal a jogegység megbomlásának a veszélye áll fenn. Az alperes kérelmében nem állította a bírói gyakorlat egységességének a hiányát, ezzel szemben – a jogkérdés különleges súlya körében – ténylegesen arra hivatkozott, hogy nincs bírósági gyakorlat. Erre figyelemmel a joggyakorlat egységének biztosítása érdekében a felülvizsgálat nem engedélyezhető.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jogkérdés különleges súlya és társadalmi jelentősége körében a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3. pontja alapján a felülvizsgálat akkor engedélyezhető, ha a jogkérdés nagy számban előforduló új típusú ügyben merült fel vagy ha a jogalanyok széles körét érinti. Az a körülmény, hogy az alperessel szemben azonos okból több per van folyamatban, nem alapozza meg a jogkérdés különleges súlyát vagy társadalmi jelentőségét. Az alperes az ellene indított pereket meghaladóan nem hivatkozott arra, hogy a jogkérdés nagy számban előforduló új típusú ügyben felmerülne, illetve ténylegesen a jogalanyok széles körét érintené.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kérte a felülvizsgálat engedélyezését abból az okból is, hogy a jogerős ítélet a kereseti kérelem határozottsága, az indokolási kötelezettség megsértése, a perindítási határidő elmulasztása, a bizonyítási érdek téves alkalmazása, valamint a jogbiztonság és a tisztességes eljárás megsértése körében eltér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kérelemben feltüntetett közzétett határozataitól. Az alperes kérelmében a jogerős ítélettel szemben állított konkrét eljárási szabálysértésekre hivatkozott, a konkrét ügyben megvalósított egyedi jogszabályalkalmazást sérelmezte. A kérelem nem tartalmazza azoknak a jogkérdéseknek a megfogalmazását, amelyek körében állítja a közzétett határozatoktól való eltérést. A jogkérdés pontos meghatározása elengedhetetlen, mert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(3) bekezdése esetén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nincs mérlegelési joga az engedélyezés körében, ugyanakkor a felülvizsgálat terjedelmét a fél által megfogalmazott jogkérdés határozza meg. Az alperes kérelmében ténylegesen nem azt állította, hogy a jogerős ítélet az eljárási jogszabályokban megfogalmazott követelményeket tükröző kúriai határozatokhoz képest másként értelmezte az eljárási jogszabályokat, így jogkérdésben eltért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határozatától, hanem az eljárási szabály adott ügyben való konkrét alkalmazását sérelmezte, amely nem szolgálhat a felülvizsgálat engedélyezésének alapjául. A jogerős ítélet a konkrét ügy tényállására és a perbeli adatokra figyelemmel alkalmazta az alperes által megsértettként állított eljárásjogi rendelkezéseket.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figyelemmel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jogerős ítélet felülvizsgálatát megtagadta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411.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bekezdése alapján.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alperes teljes személyes illetékmentessége folytán le nem rótt felülvizsgálat engedélyezése iránti kérelem illetéke az állam terhén marad 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4. § (1) bekezdése, valamint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96. § (1) bekezdése és a 102. § (6) bekezdése alapján.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végzés ellen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407. § (1) bekezdés </w:t>
      </w:r>
      <w:r>
        <w:rPr>
          <w:i/>
          <w:vertAlign w:val="baseline"/>
        </w:rPr>
        <w:t xml:space="preserve">d)</w:t>
      </w:r>
      <w:r>
        <w:rPr>
          <w:vertAlign w:val="baseline"/>
        </w:rPr>
        <w:t xml:space="preserve"> pontja alapján nincs helye felülvizsgálatnak.</w:t>
      </w:r>
    </w:p>
    <w:p>
      <w:pPr>
        <w:jc w:val="both"/>
      </w:pPr>
      <w:r>
        <w:rPr>
          <w:vertAlign w:val="baseline"/>
        </w:rPr>
        <w:t xml:space="preserve">Budapest, 2021. szeptember 23.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Dr. Szabó Klára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Parlagi Mátyás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Harter Mária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I.Pfv.20.905/2021/4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