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</w:p>
    <w:p>
      <w:pPr>
        <w:jc w:val="left"/>
      </w:pPr>
      <w:r>
        <w:rPr>
          <w:vertAlign w:val="baseline"/>
        </w:rPr>
        <w:t xml:space="preserve">Győri </w:t>
      </w:r>
      <w:r>
        <w:rPr>
          <w:vertAlign w:val="baseline"/>
        </w:rPr>
        <w:t xml:space="preserve">Ítélőtábla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Pf.IV.20.011/2021/8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Győri Ítélőtábla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dr. Bihari Krisztina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cím10</w:t>
      </w:r>
      <w:r>
        <w:rPr>
          <w:vertAlign w:val="baseline"/>
        </w:rPr>
        <w:t xml:space="preserve">) ügyvéd által képviselt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Felperes1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.) I.r és </w:t>
      </w:r>
      <w:r>
        <w:rPr>
          <w:vertAlign w:val="baseline"/>
        </w:rPr>
        <w:t xml:space="preserve">Felperes2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.)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r </w:t>
      </w:r>
      <w:r>
        <w:rPr>
          <w:vertAlign w:val="baseline"/>
        </w:rPr>
        <w:t xml:space="preserve">felpereseknek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Törös Ügyvédi Iroda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cím9</w:t>
      </w:r>
      <w:r>
        <w:rPr>
          <w:vertAlign w:val="baseline"/>
        </w:rPr>
        <w:t xml:space="preserve">., ügyintéző: </w:t>
      </w:r>
      <w:r>
        <w:rPr>
          <w:vertAlign w:val="baseline"/>
        </w:rPr>
        <w:t xml:space="preserve">dr. Törös Judit</w:t>
      </w:r>
      <w:r>
        <w:rPr>
          <w:vertAlign w:val="baseline"/>
        </w:rPr>
        <w:t xml:space="preserve"> ügyvéd) által képviselt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Alperes1</w:t>
      </w:r>
      <w:r>
        <w:rPr>
          <w:vertAlign w:val="baseline"/>
        </w:rPr>
        <w:t xml:space="preserve">. 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 alperes ellen tisztességtelen általános szerződési feltétel érvénytelenségének megállapítása iránt indított perében a </w:t>
      </w:r>
      <w:r>
        <w:rPr>
          <w:vertAlign w:val="baseline"/>
        </w:rPr>
        <w:t xml:space="preserve">Veszprémi Törvényszék</w:t>
      </w:r>
      <w:r>
        <w:rPr>
          <w:vertAlign w:val="baseline"/>
        </w:rPr>
        <w:t xml:space="preserve"> 2020. december 14. napján kelt </w:t>
      </w:r>
      <w:r>
        <w:rPr>
          <w:vertAlign w:val="baseline"/>
        </w:rPr>
        <w:t xml:space="preserve">1.P.20.392/2020/9</w:t>
      </w:r>
      <w:r>
        <w:rPr>
          <w:vertAlign w:val="baseline"/>
        </w:rPr>
        <w:t xml:space="preserve">. számú ítélete ellen a felperesek által 10. sorszám </w:t>
      </w:r>
      <w:r>
        <w:rPr>
          <w:vertAlign w:val="baseline"/>
        </w:rPr>
        <w:t xml:space="preserve">alatt előterjesztett fellebbezés folytán indult eljárásban – tárgyaláson kívül – meghozta a következő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 t é l e t e t: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Az ítélőtábla az elsőfokú bíróság ítéletét helybenhagyja.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Kötelezi a felpereseket, hogy 15 napon belül egyetemlegesen fizessenek meg az alperes részére </w:t>
      </w:r>
      <w:r>
        <w:rPr>
          <w:vertAlign w:val="baseline"/>
        </w:rPr>
        <w:t xml:space="preserve">38.100.-(</w:t>
      </w:r>
      <w:r>
        <w:rPr>
          <w:vertAlign w:val="baseline"/>
        </w:rPr>
        <w:t xml:space="preserve">harmincnyolcezer-egyszáz) forint másodfokú perköltséget.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Az ítélet ellen nincs helye fellebbezésnek.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irányadó tényállás szerint az I.r felperes, mint hitelfelvevő és zálogkötelezett,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r felperes, mint készfizető kezes 2006. december 28-án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alapú, lakásvásárlás finanszírozási célú, annuitásos törlesztésű hitel-zálog-és készfizető kezesi szerződést kötöttek az alperessel az általa kidolgozott és alkalmazott általános szerződési feltételek felhasználásával. A hitelszerződés elválaszthatatlan részét képezte az </w:t>
      </w:r>
      <w:r>
        <w:rPr>
          <w:vertAlign w:val="baseline"/>
        </w:rPr>
        <w:t xml:space="preserve">Biztosító1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r felperes között 2006. december 21-én megkötött – </w:t>
      </w:r>
      <w:r>
        <w:rPr>
          <w:vertAlign w:val="baseline"/>
        </w:rPr>
        <w:t xml:space="preserve">MKB</w:t>
      </w:r>
      <w:r>
        <w:rPr>
          <w:vertAlign w:val="baseline"/>
        </w:rPr>
        <w:t xml:space="preserve"> záradékkal ellátott – életbiztosítási szerződés.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hitelszerződés értelmében az alperes 64.500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összegű devizahitelt tartott rendelkezésre a hitelfelvevő részére azzal, hogy vállalta, hogy a szerződésben megállapított feltételek teljesülése esetén legfeljebb 10 millió </w:t>
      </w:r>
      <w:r>
        <w:rPr>
          <w:vertAlign w:val="baseline"/>
        </w:rPr>
        <w:t xml:space="preserve">Ft</w:t>
      </w:r>
      <w:r>
        <w:rPr>
          <w:vertAlign w:val="baseline"/>
        </w:rPr>
        <w:t xml:space="preserve"> összegű kölcsönt folyósít 240 hónap futamidőre.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kölcsön kamatlába kamatperiódusonként változó, a kamatperiódusok három hónap időtartamúak. A kamatláb mértéke a szerződéskötés időpontjában évi 2,5 % volt azzal, hogy az I.r alperes az első négy kamatperiódusra kedvezményes, évi 0,77 %-os üzleti kamatlábat biztosított.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THM</w:t>
      </w:r>
      <w:r>
        <w:rPr>
          <w:vertAlign w:val="baseline"/>
        </w:rPr>
        <w:t xml:space="preserve"> évi 5,47 % volt.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szerződés 4.2. pontja értelmében a kezelési költség mértéke a szerződéskötés időpontjában évi 2,7 % volt, amelyet az alperes – a kondíciós listában közzétett módon – a hitelfelvevő tőketartozása alapján számított fel. (2006. július 26-án kelt üzletszabályzat 4.2. pont 9. pontja)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szerződés 6.5. pontja szerint a kamat és kezelési költség, továbbá a díjak, jutalékok és költségek megfizetése oly módon történt, hogy a hitelfelvevő köteles volt gondoskodni arról, hogy az esedékes deviza tartozásának megfelelő forint fedezet a banknál vezetett, a szerződésben megjelölt forintszámláján az elszámolási napot megelőző harmadik üzleti napon rendelkezésre álljon. A 6.5. pont 3. bekezdése kimondta, hogy a rendelkezésre tartott forintfedezet szempontjából az esedékes devizatartozásnak az esedékességet megelőző harmadik üzleti napon érvényes, az </w:t>
      </w:r>
      <w:r>
        <w:rPr>
          <w:vertAlign w:val="baseline"/>
        </w:rPr>
        <w:t xml:space="preserve">MKB</w:t>
      </w:r>
      <w:r>
        <w:rPr>
          <w:vertAlign w:val="baseline"/>
        </w:rPr>
        <w:t xml:space="preserve"> deviza eladási árfolyamán számított forint ellenértéke az irányadó. A bank a hitelfelvevő esedékessé vált devizatartozását az </w:t>
      </w:r>
      <w:r>
        <w:rPr>
          <w:vertAlign w:val="baseline"/>
        </w:rPr>
        <w:t xml:space="preserve">MKB</w:t>
      </w:r>
      <w:r>
        <w:rPr>
          <w:vertAlign w:val="baseline"/>
        </w:rPr>
        <w:t xml:space="preserve"> devizaeladási árfolyamán forintra átszámította, és ezen forint ellenértékkel a hitelfelvevő forintszámláját megterhelte.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felek a kölcsön törlesztésére minden hónap 15. napját rögzítették elszámolási napként.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I.r felperes által fizetendő kamat és kezelési költség havonta az elszámolási napokon volt esedékes. A hiteldíjat (azaz a kamatot és kezelési költséget) tartalmazó törlesztőrészletek száma 239 volt, és a teljes hitelösszeg igénybevételét feltételezve a szerződéskötéskor hatályos kondíciós lista feltételeivel az induló törlesztőrészlet </w:t>
      </w:r>
      <w:r>
        <w:rPr>
          <w:vertAlign w:val="baseline"/>
        </w:rPr>
        <w:t xml:space="preserve">179,087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CHF,</w:t>
      </w:r>
      <w:r>
        <w:rPr>
          <w:vertAlign w:val="baseline"/>
        </w:rPr>
        <w:t xml:space="preserve"> az első nem akciós hiteldíj összege 269,54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volt.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tőketörlesztés az életbiztosítási szerződés lejártakor egyösszegben volt esedékes, amelyet az alperes az életbiztosítás összegéből kívánt elszámolni.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üzletszabályzatának 5.2.1. pontja szerint az ügyfél a hitelszerződés alapján lehívott kölcsön folyósítása és a törlesztések időpontja, valamint az ügyfél fennálló tartozása tekintetében az alperes e célra szolgáló nyilvántartását (üzleti könyveit) és nyilatkozatait irányadónak és hitelesnek fogadta el.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szerződés megkötésével egyidejűleg a felperesek aláírták a „Kockázatfeltáró nyilatkozat devizahitelek árfolyam- és kamatkockázatával kapcsolatban” elnevezésű iratot, amely azt tartalmazta, hogy a forinttól eltérő devizanemben történő hitelfelvétel előre pontosan nem becsülhető devizaárfolyam- és kamatkockázat tudatos felvállalását jelenti a hitel devizanemétől függően a hitel teljes, vagy adott esetben részleges futam idejére vonatkozóan.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Erre tekintettel az ügyfelek által megkötni kívánt devizahitel szerződéssel kapcsolatban az alperes az alábbi piac által indukált kockázatokra hívta fel a figyelmet: a hitel futamideje alatt árfolyam elmozdulások a nemzetközi pénzpiacok és a forint piaci helyzetének változásától függően bármikor, előre meg nem becsülhető gyakorisággal, irányban és mértékben következhetnek be. Az árfolyamváltozás hatására változhat, kedvezőtlen esetben akár jelentős mértékben megnövekedhet mind a tőketartozás, mind a törlesztőrészletek forintban számított összege. További kockázatot jelent változó kamatozású hitelkonstrukciók esetében, hogy a devizaárfolyam változásától függetlenül a hitel devizanemére irányadó nemzetközi pénzpiaci kamatok is változhatnak, és a változás akár a forintkamatok változásával ellentétes irányú is lehet. Kedvezőtlen irányú kamatváltozás az árfolyam változatlansága esetén önmagában is növelheti a törlesztőrészletek összegét. Ugyanakkor az árfolyam és a kamat bármilyen irányú változása akár együttesen is bekövetkezhet, ami kedvezőtlen esetben a forintban számított adósság terhek kumulatív növekedését eredményezheti.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fenti kölcsön biztosítására a felek a hitelfelvevő tulajdonában kerülő </w:t>
      </w:r>
      <w:r>
        <w:rPr>
          <w:vertAlign w:val="baseline"/>
        </w:rPr>
        <w:t xml:space="preserve">cím11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helyrajzi szám1</w:t>
      </w:r>
      <w:r>
        <w:rPr>
          <w:vertAlign w:val="baseline"/>
        </w:rPr>
        <w:t xml:space="preserve"> hrsz-ú ingatlanra jelzálogjogot alapítottak.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szerződés 9.4. pontjában a hitelfelvevő és a kezes kijelentették, hogy a bank üzletszabályzatainak tartalmát megismerték, az abban írtakat – különös tekintettel a bankszámlák vezetéséről, a betétgyűjtésről és a kapcsolódó szolgáltatásokról szóló üzletszabályzat 7. fejezet 29. pontjában, valamint a hitelműveletek végzéséről szóló üzletszabályzat 5.6.3. pont, 6.4. pont, 7. pont, 8.4. pont, 8.5. pont, 9.7. pont pontjában felsoroltakat kifejezetten elfogadják.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fentiek szerint létrejött „</w:t>
      </w:r>
      <w:r>
        <w:rPr>
          <w:vertAlign w:val="baseline"/>
        </w:rPr>
        <w:t xml:space="preserve">szerződésszám1</w:t>
      </w:r>
      <w:r>
        <w:rPr>
          <w:vertAlign w:val="baseline"/>
        </w:rPr>
        <w:t xml:space="preserve"> akciós”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azonosító számú szerződésből fakadó kötelezettségeik tekintetében a felperesek 2006. december 29-én </w:t>
      </w:r>
      <w:r>
        <w:rPr>
          <w:vertAlign w:val="baseline"/>
        </w:rPr>
        <w:t xml:space="preserve">közjegyző1</w:t>
      </w:r>
      <w:r>
        <w:rPr>
          <w:vertAlign w:val="baseline"/>
        </w:rPr>
        <w:t xml:space="preserve"> veszprémi közjegyző előtt </w:t>
      </w:r>
      <w:r>
        <w:rPr>
          <w:vertAlign w:val="baseline"/>
        </w:rPr>
        <w:t xml:space="preserve">ügyszám1</w:t>
      </w:r>
      <w:r>
        <w:rPr>
          <w:vertAlign w:val="baseline"/>
        </w:rPr>
        <w:t xml:space="preserve">. ügyszámon közjegyzői okiratba foglalt egyoldalú kötelezettségvállalási nyilatkozatot tettek.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Tényként</w:t>
      </w:r>
      <w:r>
        <w:rPr>
          <w:vertAlign w:val="baseline"/>
        </w:rPr>
        <w:t xml:space="preserve"> állapítható meg, hogy az alperes a perbeli szerződés megkötésének időszakában nem kötött olyan tartalmú kölcsönszerződést, amelyben a hiteldíj elemei között kezelési költség címén díjtétel nem szerepelt.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által közzétett adatok szerint 2006. decemberében a háztartásoknak nyújtott öt éven túli lejáratú, lakáscélú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hitelek átlagos éves kamatlába 3,85 % volt, míg a háztartásoknak nyújtott lakáscélú változó kamatozású vagy legfeljebb egy éves kamat fixálású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hitelek </w:t>
      </w:r>
      <w:r>
        <w:rPr>
          <w:vertAlign w:val="baseline"/>
        </w:rPr>
        <w:t xml:space="preserve">THM</w:t>
      </w:r>
      <w:r>
        <w:rPr>
          <w:vertAlign w:val="baseline"/>
        </w:rPr>
        <w:t xml:space="preserve">-je 5,82 %.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felperesek a módosított kereseti kérelmükben a kölcsönszerződés 4.2. pontjában és 6.5. pontjában írt kezelési költségre vonatkozó rendelkezések, valamint a kölcsönszerződés második fejezetében találtható </w:t>
      </w:r>
      <w:r>
        <w:rPr>
          <w:vertAlign w:val="baseline"/>
        </w:rPr>
        <w:t xml:space="preserve">Kockázatfeltáró</w:t>
      </w:r>
      <w:r>
        <w:rPr>
          <w:vertAlign w:val="baseline"/>
        </w:rPr>
        <w:t xml:space="preserve"> nyilatkozat, továbbá az </w:t>
      </w:r>
      <w:r>
        <w:rPr>
          <w:vertAlign w:val="baseline"/>
        </w:rPr>
        <w:t xml:space="preserve">Üzletszabályzat</w:t>
      </w:r>
      <w:r>
        <w:rPr>
          <w:vertAlign w:val="baseline"/>
        </w:rPr>
        <w:t xml:space="preserve"> 5.2.1. pontja szerinti kikötés, mint általános szerződési feltételek tisztességtelenségének és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ebből eredően érvénytelenségének megállapítását kérték.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jogkövetkezmények körében indítványozták, hogy a bíróság a kölcsönszerződést 10 millió forint és 2,5 %-os kamata erejéig nyilvánítsa érvényessé azzal, hogy az alperes részére még további </w:t>
      </w:r>
      <w:r>
        <w:rPr>
          <w:vertAlign w:val="baseline"/>
        </w:rPr>
        <w:t xml:space="preserve">458.336,-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forint megfizetésével tartoznak.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Állították,</w:t>
      </w:r>
      <w:r>
        <w:rPr>
          <w:vertAlign w:val="baseline"/>
        </w:rPr>
        <w:t xml:space="preserve"> hogy a 2,5 %-os ügyeleti kamatot meghaladó mértékű, azon túl fizetendő 2,7 %-os kezelési költség felszámítása tisztességtelen, mert nem állapítható meg, hogy annak ellentételezéseként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az alperes milyen szolgáltaltatást nyújt az adósok részére.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Indokolatlan és tisztességtelen a felszámolt kezelési költség svájci frankban történő nyilvántartása és megfizetése, ugyanis a pénzügyi intézmény oldalán felmerülő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kiadások az árfolyamváltozások hatására nem emelkednek.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Kockázatfeltáró</w:t>
      </w:r>
      <w:r>
        <w:rPr>
          <w:vertAlign w:val="baseline"/>
        </w:rPr>
        <w:t xml:space="preserve"> nyilatkozattal összefüggésben kiemelték, hogy abból nem tűnik, hogy az árfolyamkockázat korlátlan, ezért tisztességtelen az abból fakadó valamennyi fizetési kötelezettség fogyasztóra terhelése.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alperesnek, mint professzionális pénzügyi intézménynek tájékoztatást kellett volna adnia arról is, hogy az </w:t>
      </w:r>
      <w:r>
        <w:rPr>
          <w:vertAlign w:val="baseline"/>
        </w:rPr>
        <w:t xml:space="preserve">1009/2008</w:t>
      </w:r>
      <w:r>
        <w:rPr>
          <w:vertAlign w:val="baseline"/>
        </w:rPr>
        <w:t xml:space="preserve">. (II.25.)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rendelet alapján az intervenciós sáv teljes megszüntetése okán rendkívül szélsőséges mértékű árfolyamingadozás következhet be, ami miatt a törlesztőrészlet összege korlátozás nélkül akár többszörösére is emelkedhet. Az árfolyamváltozás lehetősége valós, és ez a hitel futamideje alatt bármikor bekövetkezhet. A perbeli </w:t>
      </w:r>
      <w:r>
        <w:rPr>
          <w:vertAlign w:val="baseline"/>
        </w:rPr>
        <w:t xml:space="preserve">Kockázatfeltáró</w:t>
      </w:r>
      <w:r>
        <w:rPr>
          <w:vertAlign w:val="baseline"/>
        </w:rPr>
        <w:t xml:space="preserve"> nyilatkozat nem felel meg az </w:t>
      </w:r>
      <w:r>
        <w:rPr>
          <w:vertAlign w:val="baseline"/>
        </w:rPr>
        <w:t xml:space="preserve">Európai Unió Bírósága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C-51/17</w:t>
      </w:r>
      <w:r>
        <w:rPr>
          <w:vertAlign w:val="baseline"/>
        </w:rPr>
        <w:t xml:space="preserve">. számú ügyben hozott ítéletében rögzítetteknek.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Sérelmezték, hogy az alperes nem igazolta, hogy a külön íven szerkesztett </w:t>
      </w:r>
      <w:r>
        <w:rPr>
          <w:vertAlign w:val="baseline"/>
        </w:rPr>
        <w:t xml:space="preserve">Kockázatfeltáró</w:t>
      </w:r>
      <w:r>
        <w:rPr>
          <w:vertAlign w:val="baseline"/>
        </w:rPr>
        <w:t xml:space="preserve"> nyilatkozatot a szerződés megkötésekor, vagy azt megelőzően kellő időben átadta részükre.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felperesek álláspontja szerint a banki nyilvántartás alapján készített közjegyzői ténytanúsítvány adósok általi elfogadására vonatkozó, az 5.2.1. pontban írt kikötés a </w:t>
      </w:r>
      <w:r>
        <w:rPr>
          <w:vertAlign w:val="baseline"/>
        </w:rPr>
        <w:t xml:space="preserve">18/1999</w:t>
      </w:r>
      <w:r>
        <w:rPr>
          <w:vertAlign w:val="baseline"/>
        </w:rPr>
        <w:t xml:space="preserve">. (II.5.)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rendelet 1. § (1) bekezdés a.) b.) és j.) pontja alapján, valamint az 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(rPtk.) 209/A. § (2) bekezdése alapján tisztességtelen. Ezen sérelmes kikötéssel az adósok előre elismerték a bank által kimutatott tartozás helyességét, amelyre tekintettel az alperes a szerződést jogszerűen felmondhatja, illetve a közjegyzői okiratot annak alapján végrehajtási záradékkal láttathatja el. Amennyiben az adós ezt vitatja, úgy a végrehajtás megszüntetése iránti per megindítására kényszerül, amelyben már őt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terheli annak bizonyítása, hogy a végrehajtani kért követelés érvényesen nem jött létre, illetve, hogy a tartozás összege nem a bank által követelttel azonos.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a kereset elutasítását kérte.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kezelési költséggel összefüggésben arra hivatkozott, hogy annak ellentételezése a felperesek által igénybe vett pénzügyi szolgáltatással, azaz a hitel- és kölcsönügylettel kapcsolatban felmerülő adminisztráció bank általi lebonyolítása. Ennek mértéke csak átalányban határozható meg. A kezelési költség kikötése a szerződésben világos és érthető. A kamat az adminisztrációs költségeket nem fedezheti, mivel az a kölcsönadott összeg használatának a díja. Figyelemmel a szerződés devizaalapú minőségére, amelynek következtében a tőketartozást is devizában tartja nyilván az alperes, ezért a tőketartozáshoz igazított mértékű kezelési költség is devizában számolandó el.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Üzletszabályzat</w:t>
      </w:r>
      <w:r>
        <w:rPr>
          <w:vertAlign w:val="baseline"/>
        </w:rPr>
        <w:t xml:space="preserve"> 5.2.1. pontját érintően kifejtette, hogy ezen rendelkezés a bizonyítási terhet a fogyasztó hátrányára nem változtatja meg. Amennyiben az I.r alperes indít eljárást, úgy a bizonyítási teher őt terheli, amelynek a saját nyilvántartása adatai alapján tud eleget tenni, és amellyel szemben a felperes ellenbizonyítást folytathat le.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Amennyiben pedig a felperes indítja az eljárást, úgy eleve őt terheli a bizonyítási kötelezettség. Ezen kikötéssel tehát az adós a banki kimutatások megtámadási jogáról nem mond le, ezért az nem tisztességtelen.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vitatott kikötés nem jogosítja fel az alperest a szerződés bármely feltételének egyoldalú értelmezésére. A felpereseknek a </w:t>
      </w:r>
      <w:r>
        <w:rPr>
          <w:vertAlign w:val="baseline"/>
        </w:rPr>
        <w:t xml:space="preserve">18/1999</w:t>
      </w:r>
      <w:r>
        <w:rPr>
          <w:vertAlign w:val="baseline"/>
        </w:rPr>
        <w:t xml:space="preserve">. (II.5.)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kormányrendelet 1. § (1) bekezdés b.) pontjára való hivatkozásával összefüggésben az alperes kiemelte, hogy egyetlen teljesítése(szolgáltatása) volt, azaz a kölcsön folyósítása, amelynek szerződésszerűsége megítélésére nem vált jogosulttá a támadott szerződési pont alapján sem.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Kockázatfeltáró</w:t>
      </w:r>
      <w:r>
        <w:rPr>
          <w:vertAlign w:val="baseline"/>
        </w:rPr>
        <w:t xml:space="preserve"> nyilatkozattal összefüggésben azzal érvelt, hogy az a szerződés részét képezi, abból objektíven, világosan kiolvasható az átlagos fogyasztó számára, hogy a forinttól eltérő devizanemben való hitelfelvétel milyen kockázatokat hordoz: az árfolyamváltozás hatására akár jelentős mértékben megnövekedhet mind a tőketartozás, mind a törlesztőrészletek forintban számított összege, amely teljes mértékben az adósokat terheli. A tájékoztatás megfelelt a </w:t>
      </w:r>
      <w:r>
        <w:rPr>
          <w:vertAlign w:val="baseline"/>
        </w:rPr>
        <w:t xml:space="preserve">2/2014</w:t>
      </w:r>
      <w:r>
        <w:rPr>
          <w:vertAlign w:val="baseline"/>
        </w:rPr>
        <w:t xml:space="preserve">. PJE határozatban, illetve az </w:t>
      </w:r>
      <w:r>
        <w:rPr>
          <w:vertAlign w:val="baseline"/>
        </w:rPr>
        <w:t xml:space="preserve">EUB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C-51/17</w:t>
      </w:r>
      <w:r>
        <w:rPr>
          <w:vertAlign w:val="baseline"/>
        </w:rPr>
        <w:t xml:space="preserve">. ítéletben rögzített szempontoknak.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</w:t>
      </w:r>
      <w:r>
        <w:rPr>
          <w:vertAlign w:val="baseline"/>
        </w:rPr>
        <w:t xml:space="preserve"> a felperesek, mind az alperes az ellenérdekű fél perköltségben való marasztalását kérték.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felperesek keresetét a </w:t>
      </w:r>
      <w:r>
        <w:rPr>
          <w:vertAlign w:val="baseline"/>
        </w:rPr>
        <w:t xml:space="preserve">Veszprémi Törvényszék</w:t>
      </w:r>
      <w:r>
        <w:rPr>
          <w:vertAlign w:val="baseline"/>
        </w:rPr>
        <w:t xml:space="preserve"> – a </w:t>
      </w:r>
      <w:r>
        <w:rPr>
          <w:vertAlign w:val="baseline"/>
        </w:rPr>
        <w:t xml:space="preserve">Győri Ítélőtábla Pf.III.</w:t>
      </w:r>
      <w:r>
        <w:rPr>
          <w:vertAlign w:val="baseline"/>
        </w:rPr>
        <w:t xml:space="preserve">20.332/2018/5/I. számú ítéletével jogerőre emelkedett – </w:t>
      </w:r>
      <w:r>
        <w:rPr>
          <w:vertAlign w:val="baseline"/>
        </w:rPr>
        <w:t xml:space="preserve">1.P.21.417/2017/18</w:t>
      </w:r>
      <w:r>
        <w:rPr>
          <w:vertAlign w:val="baseline"/>
        </w:rPr>
        <w:t xml:space="preserve">. számú ítéletével elutasította.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eljárt bíróságok a kezelési költség tekintetében azon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jogi álláspontra helyezkedtek, hogy annak kikötése a szolgáltatás-ellenszolgáltatás aránya meghatározásának körébe tartozik, a hitelintézet által nyújtott szolgáltatás (azaz a kölcsön nyújtása) ellenértékének egyik eleme, ennél fogva az arra vonatkozó általános szerződési feltétel tisztességtelensége csak akkor vizsgálható, ha megszövegezése nem egyértelmű, nem világos és nem érthető.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eljárt bíróságok utaltak arra is, hogy a kezelési költség a hitel folyósításával, nyilvántartásával járó adminisztráció költsége. A hitelező ezen szolgáltatásának jellegéből fakadóan annak összege csak átalányban határozható meg. Az éveken keresztül tartó hitelezési tevékenységnek a hitelnyújtás aktuális fázisához igazodó nyilvántartása – mint a kezelési költség ellenében a hitelező által nyújtott szolgáltatás – tételes felsorolása kivitelezhetetlen.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első- és másodfokú bíróság úgy ítélte meg, hogy a perbeli szerződés kezelési költségre vonatkozó kikötéseinek megszövegezése kétséget kizáróan egyértelmű, a szerződés 4.2. pontja a százalékos mértéket, míg az </w:t>
      </w:r>
      <w:r>
        <w:rPr>
          <w:vertAlign w:val="baseline"/>
        </w:rPr>
        <w:t xml:space="preserve">Üzletszabályzat</w:t>
      </w:r>
      <w:r>
        <w:rPr>
          <w:vertAlign w:val="baseline"/>
        </w:rPr>
        <w:t xml:space="preserve"> 4.2.9. pontja a vetítési alapot, illetve ezen fizetési költség kiszámításának a módját határozza meg.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A fentiekben kifejtettek miatt - figyelemmel az rPtk. 209. § (4) bekezdésének korlátozó szabályára is - a kezelési költség, mint egyértelműen, valamennyi szerződő fél számára érthetően megszövegezett, és a szolgáltatás-ellenszolgáltatás arányát meghatározó szerződéses kikötés érdemben – a tisztességtelenség megítélése szempontjából – nem vizsgálható.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Üzletszabályzat</w:t>
      </w:r>
      <w:r>
        <w:rPr>
          <w:vertAlign w:val="baseline"/>
        </w:rPr>
        <w:t xml:space="preserve"> 5.2.1. pontjával összefüggésben a korábban eljárt bíróságok leszögezték, hogy ezen kikötés a </w:t>
      </w:r>
      <w:r>
        <w:rPr>
          <w:vertAlign w:val="baseline"/>
        </w:rPr>
        <w:t xml:space="preserve">18/1999</w:t>
      </w:r>
      <w:r>
        <w:rPr>
          <w:vertAlign w:val="baseline"/>
        </w:rPr>
        <w:t xml:space="preserve">. (II.5.)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rendelet 1. § (1) bekezdés a.) és b.) pontjait nem sérti, és nem biztosít olyan jogot az alperes számára, hogy a szerződés bármely feltételét egyoldalúan értelmezze, továbbá nem jogosítja fel az alperest annak megállapítására, hogy saját teljesítése szerződésszerű-e. A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rendelet 1. § (1) bekezdés b.) pontja szerint a jogalkotó azt az általános szerződési feltételt minősítette tisztességtelennek, amely a saját – nem pedig a fogyasztó – teljesítése szerződésszerűségének kizárólagos megállapítására jogosítja fel a fogyasztóval szerződő felet.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Nem tisztességtelen az </w:t>
      </w:r>
      <w:r>
        <w:rPr>
          <w:vertAlign w:val="baseline"/>
        </w:rPr>
        <w:t xml:space="preserve">Üzletszabályzat</w:t>
      </w:r>
      <w:r>
        <w:rPr>
          <w:vertAlign w:val="baseline"/>
        </w:rPr>
        <w:t xml:space="preserve"> 5.2.1. pontja a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rendelet 1. § (1) bekezdés j.) pontja alapján sem, mivel a fogyasztó hátrányára a bizonyítási terhet nem változtatja meg. A bizonyítási teherre lényegében nincsen kihatással sem a követelésnek a hitelező általi peres eljárás útján való érvényesítése esetén, sem a közokiratba foglalt egyoldalú kötelezettségvállaló és tartozás elismerő nyilatkozat végrehajtási záradékolásával indított végrehajtási eljárás során.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Kockázatfeltáró Nyilatkozattal</w:t>
      </w:r>
      <w:r>
        <w:rPr>
          <w:vertAlign w:val="baseline"/>
        </w:rPr>
        <w:t xml:space="preserve"> kapcsolatos érvénytelenségi keresetet is alaptalannak ítéltek az eljárt bíróságok.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felperesek iratellenesen állították, hogy nem kaptak írásos tájékoztatást az árfolyamkockázatról ugyanis a kölcsönszerződés részét képező, és teljes bizonyító erejű magánokiratba foglalt </w:t>
      </w:r>
      <w:r>
        <w:rPr>
          <w:vertAlign w:val="baseline"/>
        </w:rPr>
        <w:t xml:space="preserve">Kockázatfeltáró Nyilatkozatot</w:t>
      </w:r>
      <w:r>
        <w:rPr>
          <w:vertAlign w:val="baseline"/>
        </w:rPr>
        <w:t xml:space="preserve"> aláírták, amely tájékoztatás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megfelelt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Rhpt.</w:t>
      </w:r>
      <w:r>
        <w:rPr>
          <w:vertAlign w:val="baseline"/>
        </w:rPr>
        <w:t xml:space="preserve"> 203. § (1), (6), (7) bekezdéseinek, a </w:t>
      </w:r>
      <w:r>
        <w:rPr>
          <w:vertAlign w:val="baseline"/>
        </w:rPr>
        <w:t xml:space="preserve">2/2014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PJE,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6/2013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PJE</w:t>
      </w:r>
      <w:r>
        <w:rPr>
          <w:vertAlign w:val="baseline"/>
        </w:rPr>
        <w:t xml:space="preserve"> határozatokban foglalt kritériumoknak,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valamint az </w:t>
      </w:r>
      <w:r>
        <w:rPr>
          <w:vertAlign w:val="baseline"/>
        </w:rPr>
        <w:t xml:space="preserve">EUB</w:t>
      </w:r>
      <w:r>
        <w:rPr>
          <w:vertAlign w:val="baseline"/>
        </w:rPr>
        <w:t xml:space="preserve"> döntéseiben tükröződő joggyakorlatlatnak.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Kockázatfeltáró Nyilatkozat</w:t>
      </w:r>
      <w:r>
        <w:rPr>
          <w:vertAlign w:val="baseline"/>
        </w:rPr>
        <w:t xml:space="preserve"> egyértelműen és világosan tartalmazta, hogy a deviza kölcsönszerződés megkötésével kapcsolatosan felmerül az árfolyamkockázat, tartalmazta az árfolyam elmozdulás lehetséges kiváltó okait, és kitért arra, hogy az bármikor korlátlan mértékben bekövetkezhet, ami a felperes fizetési kötelezettségeire - azaz a tőketartozásra és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törlesztőrészletek összegére is - negatív hatással lehet. Tartalmazta, hogy az árfolyamváltozás mellett kamatkockázat is jelentkezhet. Összességében a felperesek terhére az árfolyamváltozás gazdaságilag jelentős, akár hátrányos következményt hordozhat.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felperesek felülvizsgálati kérelme folytán eljárt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mint felülvizsgálati bíróság a </w:t>
      </w:r>
      <w:r>
        <w:rPr>
          <w:vertAlign w:val="baseline"/>
        </w:rPr>
        <w:t xml:space="preserve">Gfv.VII.30.197/2009/13</w:t>
      </w:r>
      <w:r>
        <w:rPr>
          <w:vertAlign w:val="baseline"/>
        </w:rPr>
        <w:t xml:space="preserve">. számú részítéletével a jogerős ítéletet – a kezelési költségre vonatkozó rendelkezés tisztességtelenségének megállapítása iránti részében – a perköltségre is kihatóan – az elsőfokú ítéletre is kiterjedően hatályon kívül helyezte, és e körben az elsőfokú bíróságot új eljárásra és új hozatalára utasította. Ezt meghaladóan a jogerős ítéletet hatályában fenntartotta, és megállapította, hogy a felülvizsgálati eljárásban az I-II.r felpereseknek együttesen </w:t>
      </w:r>
      <w:r>
        <w:rPr>
          <w:vertAlign w:val="baseline"/>
        </w:rPr>
        <w:t xml:space="preserve">572.800,-</w:t>
      </w:r>
      <w:r>
        <w:rPr>
          <w:vertAlign w:val="baseline"/>
        </w:rPr>
        <w:t xml:space="preserve"> forint felülvizsgálati eljárási költsége merült fel.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első- és másodfokon eljárt bíróságoknak a kezelési költséget az rPtk. 209. § (4) bekezdése értelmében a főszolgáltatásért nyújtott ellenszolgáltatás részének tekintő megállapításával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nem értett egyet.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Kifejtette, hogy a </w:t>
      </w:r>
      <w:r>
        <w:rPr>
          <w:vertAlign w:val="baseline"/>
        </w:rPr>
        <w:t xml:space="preserve">2/2014</w:t>
      </w:r>
      <w:r>
        <w:rPr>
          <w:vertAlign w:val="baseline"/>
        </w:rPr>
        <w:t xml:space="preserve">. PJE határozat – az </w:t>
      </w:r>
      <w:r>
        <w:rPr>
          <w:vertAlign w:val="baseline"/>
        </w:rPr>
        <w:t xml:space="preserve">EU Bíróság</w:t>
      </w:r>
      <w:r>
        <w:rPr>
          <w:vertAlign w:val="baseline"/>
        </w:rPr>
        <w:t xml:space="preserve"> jogértelmezését alapul véve – úgy foglalt állást, hogy a főszolgáltatást megállapító szerződéses rendelkezéseknek azok tekinthetők, amelyek a szerződés jellemző szolgáltatását határozzák meg.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rPtk. 523. § (1) bekezdése szerint a kölcsön nyújtásának, azaz a főszolgáltatásnak az ellenértéke a kamat. A felek ugyanakkor megállapodhatnak a kamaton felül más fizetési kötelezettségben is, de az nem minősül a főszolgáltatás ellenértékének, ezért tisztességtelensége az rPtk. 209. § (1) bekezdése alapján vizsgálható.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az eljárt bíróságok eltérő jogi álláspontjuk okán érdemben nem vizsgálták, hogy a kezelési költségre vonatkozó szerződéses rendelkezés eleget tesz-e a jóhiszeműségre, illetve az egyensúlyra (arányosságra) vonatkozó, az </w:t>
      </w:r>
      <w:r>
        <w:rPr>
          <w:vertAlign w:val="baseline"/>
        </w:rPr>
        <w:t xml:space="preserve">EU 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C-621/17</w:t>
      </w:r>
      <w:r>
        <w:rPr>
          <w:vertAlign w:val="baseline"/>
        </w:rPr>
        <w:t xml:space="preserve">. számú </w:t>
      </w:r>
      <w:r>
        <w:rPr>
          <w:vertAlign w:val="baseline"/>
        </w:rPr>
        <w:t xml:space="preserve">Kiss Gyula</w:t>
      </w:r>
      <w:r>
        <w:rPr>
          <w:vertAlign w:val="baseline"/>
        </w:rPr>
        <w:t xml:space="preserve"> &amp; </w:t>
      </w:r>
      <w:r>
        <w:rPr>
          <w:vertAlign w:val="baseline"/>
        </w:rPr>
        <w:t xml:space="preserve">CIB Bank</w:t>
      </w:r>
      <w:r>
        <w:rPr>
          <w:vertAlign w:val="baseline"/>
        </w:rPr>
        <w:t xml:space="preserve"> ügyben 2019. október 3-án hozott ítéletből következő szempontoknak, és az ezzel lényegileg egyező </w:t>
      </w:r>
      <w:r>
        <w:rPr>
          <w:vertAlign w:val="baseline"/>
        </w:rPr>
        <w:t xml:space="preserve">BH.</w:t>
      </w:r>
      <w:r>
        <w:rPr>
          <w:vertAlign w:val="baseline"/>
        </w:rPr>
        <w:t xml:space="preserve">2020. 180. számú eseti döntésben kifejtett szempontoknak, e tárgyban ezért megalapozott döntés nem volt hozható.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kezelési költség vonatkozásában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jogerős ítéletet az elsőfokú bíróság határozatára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is kiterjedően az rPp. 275. § (4) bekezdése alapján hatályon kívül helyezte és az elsőfokú bíróságot új eljárásra és új határozat hozatalára utasította.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Előírta, hogy a megismételt eljárásban az alperesnek azt kell elsődlegesen bizonyítania, hogy a kezelési költség felszámításával (a kamat és kezelési költség mértékére tekintettel) továbbá a deviza-alapúságával a felperesek terhére nem alakult-e ki jelentős egyenlőtlenség. Ezt elsődlegesen a szerződéskötéskori piaci kamatok figyelembevételével lehet megállapítani. A piaci kamat megállapításához támpontot nyújthat az olyan hasonló kondíciókkal (pl: pénznem, futamidő, kockázati besorolás) rendelkező kölcsönszerződésekben felszámított átlagos kamatmérték vizsgálata, amelyben kezelési költséget nem kötöttek ki, valamint a kamat és kezelési költség együttes mértékének, illetve a </w:t>
      </w:r>
      <w:r>
        <w:rPr>
          <w:vertAlign w:val="baseline"/>
        </w:rPr>
        <w:t xml:space="preserve">THM</w:t>
      </w:r>
      <w:r>
        <w:rPr>
          <w:vertAlign w:val="baseline"/>
        </w:rPr>
        <w:t xml:space="preserve"> mértékének vizsgálata.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Veszprémi Törvényszék</w:t>
      </w:r>
      <w:r>
        <w:rPr>
          <w:vertAlign w:val="baseline"/>
        </w:rPr>
        <w:t xml:space="preserve"> a megismételt eljárásban meghozott, és a fellebbezéssel támadott </w:t>
      </w:r>
      <w:r>
        <w:rPr>
          <w:vertAlign w:val="baseline"/>
        </w:rPr>
        <w:t xml:space="preserve">1.P.20.392/2020/9</w:t>
      </w:r>
      <w:r>
        <w:rPr>
          <w:vertAlign w:val="baseline"/>
        </w:rPr>
        <w:t xml:space="preserve">. számú ítéletében a felperesek kereseti kérelmét elutasította. Kötelezte a felpereseket, hogy 15 napon belül egyetemlegesen fizessenek meg az alperesnek </w:t>
      </w:r>
      <w:r>
        <w:rPr>
          <w:vertAlign w:val="baseline"/>
        </w:rPr>
        <w:t xml:space="preserve">304.580,-</w:t>
      </w:r>
      <w:r>
        <w:rPr>
          <w:vertAlign w:val="baseline"/>
        </w:rPr>
        <w:t xml:space="preserve"> forint perköltséget.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ítéletének jogi indokolásában rögzítette, hogy a felek között az rPtk. 522. §-ban meghatározott hitelszerződés, majd annak keretében az rPtk. 523. § (1) bekezdésében szabályozott kölcsönszerződés jött létre, amelynek megkötésénél a felperesek az rPtk. 685. § d.) pontja szerinti fogyasztóként jártak el, a szerződés pedig az e.) pont szerinti fogyasztói szerződésnek minősül.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felek között nem volt vitatott, hogy a szerződés megkötésénél az alperes által meghatározott az rPtk. 205/A. § (1) bekezdés szerinti általános szerződési feltételeket használtak. A szerződésből megállapítható, hogy az rPtk. 205/B. § (1) bekezdésére figyelemmel a felek egyedi kölcsönszerződésének részévé vált az alperesnek a hitelműveletek végzéséről szóló üzletszabályzata is.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kezelési költség felperesek által sérelmezett felszámításával összefüggésben az elsőfokú bíróság rámutatott, hogy ezen kikötés jogszabályba nem ütközött figyelemmel arra, hogy a szerződéskötéskor hatályos, a betéti kamat, az értékpapírok hozama és a teljes hiteldíjmutató számításáról és közzétételéről szóló </w:t>
      </w:r>
      <w:r>
        <w:rPr>
          <w:vertAlign w:val="baseline"/>
        </w:rPr>
        <w:t xml:space="preserve">41/1997</w:t>
      </w:r>
      <w:r>
        <w:rPr>
          <w:vertAlign w:val="baseline"/>
        </w:rPr>
        <w:t xml:space="preserve">. (III.5.)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rendelet 12. § b.) pontjában nevesítetten a kezelési költség alkalmazható és a </w:t>
      </w:r>
      <w:r>
        <w:rPr>
          <w:vertAlign w:val="baseline"/>
        </w:rPr>
        <w:t xml:space="preserve">THM</w:t>
      </w:r>
      <w:r>
        <w:rPr>
          <w:vertAlign w:val="baseline"/>
        </w:rPr>
        <w:t xml:space="preserve"> nagysága tekintetében figyelembe veendő tényezőként megjelent.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Ezen rendelkezésből azonban nem következik, hogy - a jogszabályba nem ütközően kikötött -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fizetési kötelezettséget tartalmazó szerződéses rendelkezés nem lehetne tisztességtelen.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Erre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2/2012</w:t>
      </w:r>
      <w:r>
        <w:rPr>
          <w:vertAlign w:val="baseline"/>
        </w:rPr>
        <w:t xml:space="preserve">. (XII.10.) </w:t>
      </w:r>
      <w:r>
        <w:rPr>
          <w:vertAlign w:val="baseline"/>
        </w:rPr>
        <w:t xml:space="preserve">PK.</w:t>
      </w:r>
      <w:r>
        <w:rPr>
          <w:vertAlign w:val="baseline"/>
        </w:rPr>
        <w:t xml:space="preserve"> vélemény 2. pontjában is rámutatott és amely jogértelmezés helytállóságát az </w:t>
      </w:r>
      <w:r>
        <w:rPr>
          <w:vertAlign w:val="baseline"/>
        </w:rPr>
        <w:t xml:space="preserve">EUB</w:t>
      </w:r>
      <w:r>
        <w:rPr>
          <w:vertAlign w:val="baseline"/>
        </w:rPr>
        <w:t xml:space="preserve"> C</w:t>
      </w:r>
      <w:r>
        <w:rPr>
          <w:vertAlign w:val="baseline"/>
        </w:rPr>
        <w:t xml:space="preserve">-621/17.</w:t>
      </w:r>
      <w:r>
        <w:rPr>
          <w:vertAlign w:val="baseline"/>
        </w:rPr>
        <w:t xml:space="preserve"> számú ítélete (a továbbiakban: </w:t>
      </w:r>
      <w:r>
        <w:rPr>
          <w:vertAlign w:val="baseline"/>
        </w:rPr>
        <w:t xml:space="preserve">EU Bíróság</w:t>
      </w:r>
      <w:r>
        <w:rPr>
          <w:vertAlign w:val="baseline"/>
        </w:rPr>
        <w:t xml:space="preserve"> ítélete) is alátámasztja.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fentiekkel összhangban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Gfv.VII.30.197/2019/13</w:t>
      </w:r>
      <w:r>
        <w:rPr>
          <w:vertAlign w:val="baseline"/>
        </w:rPr>
        <w:t xml:space="preserve">. számú részítéletében kifejtette, hogy a kezelési költség nem minősül a főszolgáltatás ellenértékének, ezért tisztességtelensége az rPtk. 209. § (1) bekezdése alapján vizsgálható. Az </w:t>
      </w:r>
      <w:r>
        <w:rPr>
          <w:vertAlign w:val="baseline"/>
        </w:rPr>
        <w:t xml:space="preserve">EU Bíróság</w:t>
      </w:r>
      <w:r>
        <w:rPr>
          <w:vertAlign w:val="baseline"/>
        </w:rPr>
        <w:t xml:space="preserve"> fent hivatkozott ítéletének 48. pontjában – a korábbi joggyakorlatát összegezve – kimondta, hogy egy szerződéses rendelkezés tisztességtelenségének vizsgálatakor a nemzeti bíróságnak azt kell megítélnie, hogy az megfelel-e a világos és érthető megfogalmazás (átláthatóság) követelményének, nem főszolgáltatás esetén pedig - a fentieken túl - a jóhiszeműség és az egyensúly (azaz az arányosság) elvének.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rögzítette,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eljárásban úgy ítélte meg, hogy a kezelési költségre vonatkozó perbeli kikötés teljesíti a világos és érthető megfogalmazás (az átláthatóság) követelményét, ugyanis a megismételt eljárásban csak annak vizsgálatát írta elő, hogy a kezelési költség devizaalapúságával és felszámításával (a kamat és kezelési költség mértékére tekintettel) a felperesek terhére nem alakult-e ki jelentős egyenlőtlenség, azaz nem sérült-e a jóhiszeműség és az egyensúly (arányosság) elve.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az ezen körben az őt terhelő bizonyítási kötelezettségnek eleget téve közölte, hogy a perbeli szerződés időszakában – a felperesek által sem vitatottan – nem kötött olyan tartalmú kölcsönszerződést, amelyben a hiteldíj elemei között kezelési költség címén díjtétel nem szerepelt. Az alperes csatolta a </w:t>
      </w:r>
      <w:r>
        <w:rPr>
          <w:vertAlign w:val="baseline"/>
        </w:rPr>
        <w:t xml:space="preserve">Magyar Nemzeti Bank</w:t>
      </w:r>
      <w:r>
        <w:rPr>
          <w:vertAlign w:val="baseline"/>
        </w:rPr>
        <w:t xml:space="preserve"> honlapján közzétett nyilvános statisztikai adatokat arra vonatkozóan, hogy a perbeli szerződés megkötésének időpontjában létrejött, hasonló paraméterekkel rendelkező (háztartásoknak nyújtott, lakáscélú, változó kamatozású, öt évnél hosszabb lejáratú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devizanemű) kölcsönök éves átlagos kamatlába 3,85 %, az átlagos hiteldíj mutató pedig 5,82 % volt.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fenti adatok, valamint a támadott szerződés 5,47 %-os mértékű </w:t>
      </w:r>
      <w:r>
        <w:rPr>
          <w:vertAlign w:val="baseline"/>
        </w:rPr>
        <w:t xml:space="preserve">THM</w:t>
      </w:r>
      <w:r>
        <w:rPr>
          <w:vertAlign w:val="baseline"/>
        </w:rPr>
        <w:t xml:space="preserve">-jének (amelynek domináns összetevője az ügyleti kamat és a kezelési költség volt) összevetéséből az elsőfokú bíróság arra következtetett, hogy a kezelési költség devizaalapúságával és felszámításával - a kamat és kezelési költség mértékére tekintettel - a felperesek terhére nem alakult ki jelentős egyenlőtlenség. Sőt az általuk kötött szerződés után fizetendő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teljes hitelköltség együttes mértéke a hasonló paraméterekkel rendelkező szerződések alapján fizetendő összes teher átlagos mértéke alatt maradt.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elsőfokú bíróság utalt arra, hogy az rPtk. 209.§ (2) bekezdésében írtakra is figyelemmel ezen összehasonlító vizsgálat elvégzése során a szerződés valamennyi jellemzőjét együttesen kellett értékelni, és a vizsgált szempontok közül nem ragadható ki önmagában a kezelési költségnek a jelen esetben az ügyleti kamatét meghaladó százalékos mértéke.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felperesek azon érvelésével szemben, miszerint tisztességtelen a kezelési költség kamatjellegű bevételként való megjelenése a törvényszék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utalt az 1996. évi </w:t>
      </w:r>
      <w:r>
        <w:rPr>
          <w:vertAlign w:val="baseline"/>
        </w:rPr>
        <w:t xml:space="preserve">CXII.</w:t>
      </w:r>
      <w:r>
        <w:rPr>
          <w:vertAlign w:val="baseline"/>
        </w:rPr>
        <w:t xml:space="preserve"> tv. (rHpt. ) –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perbeli szerződés megkötését követően hatályba lépett – 210. § (5a.) bekezdésére. Ezen rendelkezés ugyanis a pénzügyi intézmény által devizában felszámolható költségekről és díjakról rendelkezik és ezek között nevesíti a kamatjellegű kezelési költséget is.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felperesek további érveire tekintettel az elsőfokú bíróság a részítélet 22. pontjára hivatkozással kiemelte,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nem kifogásolta a kezelési költség devizaalapon való felszámítását.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törvényszék kitért arra, hogy a felpereseknek a kezelési költség forintban való kimutatására vonatkozó bizonyítási indítványa szükségtelen, mivel a megismételt eljárásra előírt vizsgálat és annak eredménye értékelése ennek hiányában is lefolytatható.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felperesek a fellebbezésükben elsődlegesen a szerződés kezelési költségre vonatkozó 4.2. pontjának tisztességtelensége megállapítását és az érvénytelenség jogkövetkezményeként lefolytatandó elszámolás érdekében az ítéletet e körben történő hatályon kívül helyezését kérték.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másodlagos kérelmük az ítélet hatályon kívül helyezésére irányult.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Arra</w:t>
      </w:r>
      <w:r>
        <w:rPr>
          <w:vertAlign w:val="baseline"/>
        </w:rPr>
        <w:t xml:space="preserve"> hivatkoztak, hogy a törvényszék ítélete sérti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213. §-át,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163-164.</w:t>
      </w:r>
      <w:r>
        <w:rPr>
          <w:vertAlign w:val="baseline"/>
        </w:rPr>
        <w:t xml:space="preserve"> §-át, a rPtk. 209. § (1) és (4) bekezdését, a rPtk. 205. § (3), és a rPtk. 205/C. §-t, rPtk. 209. § (1) és (4) bekezdését.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Állították,</w:t>
      </w:r>
      <w:r>
        <w:rPr>
          <w:vertAlign w:val="baseline"/>
        </w:rPr>
        <w:t xml:space="preserve"> hogy sérült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28. cikk (1) bekezdésében foglalt tisztességes eljáráshoz való joguk is mivel az elsőfokú bíróság a kezelési költség forintban történő kimutatására vonatkozó bizonyítási indítványukat elutasította, és a megismételt eljárást csak formálisan folytatta le. Az érvelésük szerint az ítélet azért jogsértő és megalapozatlan, mivel a törvényszék –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iránymutatásában írtak ellenére – nem vizsgálta a tőketartozás 2,7 %-a mértékű kezelési költség felszámításából, és a devizaalapon történő kiszámításából eredően a szerződő felek közt kialakult aránytalanságot és a felperesek terhére előállt jelentős egyenlőtlenséget.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ugyanis a felek közti egyenlőtlenség vizsgálatát a releváns időszakban kötött olyan tartalmú más kölcsönszerződésekhez viszonyítva írta elő, amelyekben a hiteldíj elemei között kezelési költség címén díjtétel nem szerepelt. Tehát a perbeli kölcsönszerződést olyan más, ezen időszakban kötött, hasonló paraméterű szerződésekkel kellett volna összehasonlítani, amelyekben csak ügyeleti kamatot kötöttek ki kezelési költség nélkül. Amennyiben ugyanis a piacon hasonló kamattal, de kezelési költség nélkül is köthető volt kölcsönszerződés, akkor abból az a következtetés vonható le, hogy a kezelési költség jelentős egyenlőtlenséget okozott az alperes javára.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eljárásban előadottakkal egyezően a felperesek továbbra is sérelmezték, hogy a szerződés nem tartalmazza azon szolgáltatások megjelölését, amelyeket a kezelési költség ellentételez. A kezelési költség százalékos meghatározásából arra lehet következtetni, hogy ez olyan további kamatszerű költségelem, amelynek az ellenértéke nem látható, ezért ez a fogyasztó számára nem világos és nem érthető.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Rámutattak</w:t>
      </w:r>
      <w:r>
        <w:rPr>
          <w:vertAlign w:val="baseline"/>
        </w:rPr>
        <w:t xml:space="preserve"> a felperesek, hogy az elsőfokú bíróság a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 210. § (5/a.) bekezdés felhívásával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szerződéskötéskor még hatályban nem lévő, ezért a per eldöntése szempontjából figyelembe nem vehető jogszabályra hivatkozott.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kezelési költség kikötése és devizaalapúsága olyan módon is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jelentős egyenlőtlenséget okoz a felek viszonyában, hogy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az alperes - a kezelési költség ellenszolgáltatásaként megjelölt - adminisztrációs költségei nem svájci frankban merülnek fel, azok az árfolyamváltozás hatására nem emelkednek, arra az árfolyammozgás nincs kihatással, ugyanakkor a szintén devizában nyilvántartott hátralékos tőketartozás összegéhez igazodva a kezelési költség mértéke is folyamatosan emelkedik.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ellenkérelme az ítélet helybenhagyására irányult.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Az alperes abból indult ki, hogy a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professzionális pénzintézetek az rPtk. által szabályozott kölcsönnél lényegesen szélesebb körű pénzügyi szolgáltatást nyújtanak, amelyre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egyrészt a rPtk. általános kölcsönnyújtásra is irányadó, másfelől az rHpt. speciális szabályai vonatkoznak. A hitel- és pénzkölcsön nyújtás fogalmát az rHpt. 2. számú mellékletének 10. pontja tartalmazza. Ennek értelmében a hitel-és pénzkölcsön nyújtása kiterjed a hitelképesség vizsgálatával, a hitel és kölcsönszerződések előkészítésével, a folyósított kölcsön nyilvántartásával, figyelemmel kísérésével, ellenőrzésével és a behajtással kapcsolatos intézkedésekre is. A kezelési költség tehát mindezen, a professzionális hitelezéssel együtt járó szolgáltatások, tevékenységek költségét fedezi.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Maga a hitelezési tevékenység általános értelemben vett fenntartása és működtetése is olyan ellenszolgáltatás, melyet az alperes a kezelési költség ellentételezésként nyújt, beleértve ebbe a fiókhálózati lefedettség személyi és tárgyi feltételeinek biztosítását, valamint a hitelezési tevékenység működését biztosító segítő háttérterületek fenntartását (IT, </w:t>
      </w:r>
      <w:r>
        <w:rPr>
          <w:vertAlign w:val="baseline"/>
        </w:rPr>
        <w:t xml:space="preserve">Back Office,</w:t>
      </w:r>
      <w:r>
        <w:rPr>
          <w:vertAlign w:val="baseline"/>
        </w:rPr>
        <w:t xml:space="preserve"> jogi támogatás, kontrolling, termékfejlesztés, behajtási szolgáltatások).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fentieken túl </w:t>
      </w:r>
      <w:r>
        <w:rPr>
          <w:vertAlign w:val="baseline"/>
        </w:rPr>
        <w:t xml:space="preserve">a deviza alapú hitelek esetében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kezelési költség a forrásfinanszírozással kapcsolatos intézkedéseket, illetve ezen intézkedések díját, azaz a forrásbiztosítási költséget is magában foglalja. </w:t>
      </w:r>
      <w:r>
        <w:rPr>
          <w:vertAlign w:val="baseline"/>
        </w:rPr>
        <w:t xml:space="preserve">Jelen esetben a hitel deviza alapú volt, azaz az alperesnek a forrást a forintosításig devizában kellett biztosítani. Ugyanakkor a devizahitelek esetén a források nem kapcsolhatók közvetlenül egy-egy kölcsönügylethez, így az egyes kölcsönök kapcsán sem értelmezhető objektív módon, hogy a forrásbiztosítással közvetlen összefüggésben milyen mértékű költségek merülnek fel konkrétan.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fenti költségeket a kamat nyilvánvalóan nem fedezheti, mivel a kamat a felpereseknek kölcsönadott összeg használatának díja, a hitelügylettel kapcsolatos adminisztrációs és forrásköltségek fedezésére ez nem szolgálhat.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alperes tehát – az rHpt. 2. mellékletének 10. pontjában meghatározott bankkölcsön nyújtási szolgáltatások definíciójával összhangban – a kölcsönszerződés </w:t>
      </w:r>
      <w:r>
        <w:rPr>
          <w:vertAlign w:val="baseline"/>
        </w:rPr>
        <w:t xml:space="preserve">II</w:t>
      </w:r>
      <w:r>
        <w:rPr>
          <w:vertAlign w:val="baseline"/>
        </w:rPr>
        <w:t xml:space="preserve">/2. pontjában meghatározott átalánydíjas kezelési költséget, azaz a mindenkor esedékes tőketartozás szerződés szerinti százalékát a kölcsönszerződés nyilvántartásával, elszámolásával, figyelemmel kísérésével, ellenőrzésével, behajtásával, illetve - a svájci frank alapú kölcsön miatt - a forrásfinanszírozásával kapcsolatos szolgáltatásaiért számította fel.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érvelése szerint több jogszabály is kifejezetten nevesíti a kezelési költséget, mint az alperes által felszámítható költséget. Erre utal az egyes fogyasztói kölcsönszerződések devizanemének módosulásával és a kamatszabályokkal kapcsolatos kérdések rendezéséről szóló 2014. évi </w:t>
      </w:r>
      <w:r>
        <w:rPr>
          <w:vertAlign w:val="baseline"/>
        </w:rPr>
        <w:t xml:space="preserve">LXXVII</w:t>
      </w:r>
      <w:r>
        <w:rPr>
          <w:vertAlign w:val="baseline"/>
        </w:rPr>
        <w:t xml:space="preserve">. törvény,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3 törvény 2. § (1) bekezdése, 11. § (5) bekezdése, a fogyasztóknak nyújtott hitelről szóló 2009. évi </w:t>
      </w:r>
      <w:r>
        <w:rPr>
          <w:vertAlign w:val="baseline"/>
        </w:rPr>
        <w:t xml:space="preserve">CLXII.</w:t>
      </w:r>
      <w:r>
        <w:rPr>
          <w:vertAlign w:val="baseline"/>
        </w:rPr>
        <w:t xml:space="preserve"> törvény </w:t>
      </w:r>
      <w:r>
        <w:rPr>
          <w:vertAlign w:val="baseline"/>
        </w:rPr>
        <w:t xml:space="preserve">Fnyhtv.</w:t>
      </w:r>
      <w:r>
        <w:rPr>
          <w:vertAlign w:val="baseline"/>
        </w:rPr>
        <w:t xml:space="preserve"> 20/C. § (2) bekezdése, valamint az rHpt. 210. § (2) bekezdése, 210. § (5/a.) bekezdése is. Fenti szabályokból következően a kamatjellegű, átalánydíjként meghatározott kezelési költség felszámítása jogszerű.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az ellenkérelmében – a hitel-és kölcsön nyújtás definíciójára alapítva - fenntartotta azon álláspontját, miszerint a kezelési költség ellenében nyújtott szolgáltatások a kölcsönszerződés elsődleges tárgyát adó főszolgáltatás részét képezik,</w:t>
      </w:r>
      <w:r>
        <w:rPr>
          <w:vertAlign w:val="baseline"/>
        </w:rPr>
        <w:t xml:space="preserve"> így a kezelési költség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ár-érték aránya nem vizsgálható.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jelen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kölcsönszerződésben a kezelési költség fizetésére vonatkozó kötelezettség és annak mértéke külön pontban került meghatározásra. A kezelési költség mértékét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kölcsönszerződés részét képező mindenkori hirdetmények díjtáblázata tünteti fel. A kölcsönszerződés tehát nem pusztán nyelvtanilag világos és érthető, de átlátható jelleggel tüntette fel a kezelési költség mechanizmusának (átalányjellegének és a kamatszámítással azonos módjának konkrét működését). Ezek alapján a fogyasztó a kezelési költségből eredő gazdasági következményeket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értékelni tudta, ezért ezen kikötés megfelel a világosság és érthetőség követelményének.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fentieken túl az alperes kifejtette, hogy a kölcsönszerződés kezelési költséggel kapcsolatos kikötései az értékarányossági szempontból történő vizsgálatuk esetén sem minősülhetnek tisztességtelennek az alábbiak okán.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rPtk. 209. § (6) bekezdése értelmében a jogszabályi rendelkezéseket tükröző szerződéses kikötések esetében a tisztességtelenség nem állapítható meg. E szabály indoka ugyanis, hogy a jogalkotó a szerződéses szabályok körében a felek jogait és kötelezettségeit egyensúlyban tartja, és nem sérti a jóhiszeműség a tisztesség követelményét.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kezelési költségre vonatkozóan pedig számos,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fentiekben már felhívott jogszabály tartalmaz kifejezett rendelkezéseket (pl. Fnyhtv. 20/C. § (2) bekezdés, rHpt. 210. § (5a) bekezdés,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3 törvény 2. § (1) bekezdés g) pont és 11. § (5) bekezdés).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kezelési költség kölcsönszerződésben megállapított mértéke az rPtk. 209. § (5) bekezdés figyelmen kívül hagyása esetén sem sérti az rPtk. 201. § (2) bekezdését. A kezelési költség tisztességtelensége azért sem állapítható meg, mert a felek szolgáltatásai között aránytalanság nem állapítható meg.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Ennek vizsgálata körében az alperes leszögezte, hogy az rPtk. 201. § (2) bekezdése alapján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az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kizárólag az általa nyújtott kölcsön nyilvántartásával, elszámolásával, ellenőrzésével, behajtásával és forrás finanszírozásával kapcsolatos szolgáltatások és az azokért felszámított kezelési költség közötti feltűnően nagy értékkülönbség vizsgálható és szankcionálható. Ennek során pedig a </w:t>
      </w:r>
      <w:r>
        <w:rPr>
          <w:vertAlign w:val="baseline"/>
        </w:rPr>
        <w:t xml:space="preserve">PK.</w:t>
      </w:r>
      <w:r>
        <w:rPr>
          <w:vertAlign w:val="baseline"/>
        </w:rPr>
        <w:t xml:space="preserve"> 267. számú állásfoglalás alapján a kölcsönszerződés egész tartalmát és a szerződéskötés körülményeit, valamint a forgalmi viszonyokat és az ügylet jellegéből fakadó sajátosságokat is figyelembe kell venni. A felpereseknek tehát azt is bizonyítania kellene, hogy a szolgáltatás és az ellenszolgáltatás között nemcsak egyszerűen különbség, hanem kirívóan nagy értékkülönbség áll fenn.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kezelési költség mértékének a szerződéses egyensúlyra gyakorolt hatását a fentiek tükrében értékelve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az alperes hangsúlyozta, hogy az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honlapon közzétett svájci alapú hitelekre vonatkozó átlagos </w:t>
      </w:r>
      <w:r>
        <w:rPr>
          <w:vertAlign w:val="baseline"/>
        </w:rPr>
        <w:t xml:space="preserve">THM</w:t>
      </w:r>
      <w:r>
        <w:rPr>
          <w:vertAlign w:val="baseline"/>
        </w:rPr>
        <w:t xml:space="preserve"> és kamat összegek alapulvételével az állapítható meg, hogy a perbeli szerződés esetén elszámolt kamaton felüli kezelési- és egyéb költség nem tér el lényegesen az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által közzétett átlagos mértéknél, ezért aránytalanság nem állapítható meg.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adatokból is kitűnik, hogy a kezelési költség százalékban történő meghatározása a hasonló hiteltermékekre általánosan elfogadott eljárás volt.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Tekintettel arra, hogy a devizaszerződés nyilvántartása svájci frankban történt és a százalékos meghatározást a korábban kifejtettek alapján a jogszabály megengedte, semmi nem indokolta, hogy a kezelési költséget forintban tartsa nyilván a pénzintézet.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Hivatkozott</w:t>
      </w:r>
      <w:r>
        <w:rPr>
          <w:vertAlign w:val="baseline"/>
        </w:rPr>
        <w:t xml:space="preserve"> az alperes az </w:t>
      </w:r>
      <w:r>
        <w:rPr>
          <w:vertAlign w:val="baseline"/>
        </w:rPr>
        <w:t xml:space="preserve">EUB</w:t>
      </w:r>
      <w:r>
        <w:rPr>
          <w:vertAlign w:val="baseline"/>
        </w:rPr>
        <w:t xml:space="preserve"> C</w:t>
      </w:r>
      <w:r>
        <w:rPr>
          <w:vertAlign w:val="baseline"/>
        </w:rPr>
        <w:t xml:space="preserve">-621/17.</w:t>
      </w:r>
      <w:r>
        <w:rPr>
          <w:vertAlign w:val="baseline"/>
        </w:rPr>
        <w:t xml:space="preserve"> számú előzetes döntéshozatali eljárásban az </w:t>
      </w:r>
      <w:r>
        <w:rPr>
          <w:vertAlign w:val="baseline"/>
        </w:rPr>
        <w:t xml:space="preserve">Európai Unió Bírósága</w:t>
      </w:r>
      <w:r>
        <w:rPr>
          <w:vertAlign w:val="baseline"/>
        </w:rPr>
        <w:t xml:space="preserve"> által lefektetett elvekre. Az </w:t>
      </w:r>
      <w:r>
        <w:rPr>
          <w:vertAlign w:val="baseline"/>
        </w:rPr>
        <w:t xml:space="preserve">Európai Bíróság</w:t>
      </w:r>
      <w:r>
        <w:rPr>
          <w:vertAlign w:val="baseline"/>
        </w:rPr>
        <w:t xml:space="preserve"> akként foglalt állást, hogy a kezelési költség felszámítására lehetőséget adó </w:t>
      </w:r>
      <w:r>
        <w:rPr>
          <w:vertAlign w:val="baseline"/>
        </w:rPr>
        <w:t xml:space="preserve">ÁSZF</w:t>
      </w:r>
      <w:r>
        <w:rPr>
          <w:vertAlign w:val="baseline"/>
        </w:rPr>
        <w:t xml:space="preserve"> akkor sem minősül tisztességtelennek, ha a szerződés nem tartalmazza részletesen a költség ellenében nyújtott valamennyi szolgáltatást, és nem teszi lehetővé az e költség ellenében nyújtott konkrét szolgáltatások egyértelmű azonosítását.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fellebbezés alaptalan.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ítélőtábla megállapította, hogy az elsőfokú bíróság a bizonyítási eljárást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által előírtak szerint, a szükséges körben lefolytatta, az ítélet hatályon kívül helyezését megalapozó lényeges eljárási szabályt nem sértett, és megalapozott tényállásából helytálló jogi következtetést levonva utasította el a felperesek kereseti kérelmét.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Az ítélőtábla a törvényszék indokaival egyetértett, azok ismétlése szükségtelen.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fellebbezésben írtakra tekintettel az ítélőtábla kiemeli, hogy téves azon, a rPtk. 209.§. (1) bekezdésére alapított felperesi érvelés, miszerint a kezelési költség kikötésének tisztességtelenségét az ellentételezés hiánya alapozza meg.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BH.</w:t>
      </w:r>
      <w:r>
        <w:rPr>
          <w:vertAlign w:val="baseline"/>
        </w:rPr>
        <w:t xml:space="preserve">2020. 180. számú eseti döntésben kifejtettek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egyetértett azzal, hogy a professzionális pénzintézetek működése során felmerülhetnek olyan köztudomású, de adósként nem konkretizálható, ám átalányjelleggel százalékos mértékben meghatározható költségek, amelyek az ügyleti kamatban nem térülnek meg, ezek összessége magában foglalja a kölcsön forrásköltségeit, a kölcsön nyilvántartásával, elszámolásával, figyelemmel kísérésével, ellenőrzésével, behajtásával, illetve forrásfinanszírozásával kapcsolatos szolgáltatások díját is.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kezelési költség valójában a pénzintézetek működési költségeit és a hitel nyilvántartásával, kezelésével felmerülő adminisztrációs költségeket, valamint –a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devizahitelek esetén -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forrásfinanszírozási költségeket ellentételezi A kezelési költség mögött tehát van alperesi ellenszolgáltatás.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felperesek álláspontjával szemben a kezelési költség kikötését nem teszi – a világosság , érthetőség, átláthatóság követelményébe ütközővé – ezáltal tisztességtelenné az sem, hogy az alperes által esetlegesen nyújtott ellenszolgáltatás(ok)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konkrét tartalma az adott szerződésben nem beazonosítható.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EU Bírósága</w:t>
      </w:r>
      <w:r>
        <w:rPr>
          <w:vertAlign w:val="baseline"/>
        </w:rPr>
        <w:t xml:space="preserve"> a C</w:t>
      </w:r>
      <w:r>
        <w:rPr>
          <w:vertAlign w:val="baseline"/>
        </w:rPr>
        <w:t xml:space="preserve">-621/17.</w:t>
      </w:r>
      <w:r>
        <w:rPr>
          <w:vertAlign w:val="baseline"/>
        </w:rPr>
        <w:t xml:space="preserve"> számú ügyben kifejtette, hogy</w:t>
      </w:r>
      <w:r>
        <w:rPr>
          <w:vertAlign w:val="baseline"/>
        </w:rPr>
        <w:t xml:space="preserve"> a fogyasztókkal kötött kölcsönszerződésben alkalmazott tisztességtelen feltételekről szóló 1993. április 5-i, </w:t>
      </w:r>
      <w:r>
        <w:rPr>
          <w:vertAlign w:val="baseline"/>
        </w:rPr>
        <w:t xml:space="preserve">93/13/EGK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Tanácsi Irányelv</w:t>
      </w:r>
      <w:r>
        <w:rPr>
          <w:vertAlign w:val="baseline"/>
        </w:rPr>
        <w:t xml:space="preserve"> 4. cikk (2) bekezdését és 5. cikkét úgy kell értelmezni, hogy az a követelmény, amely szerint a szerződési feltételeket világosan és érthetően kell megfogalmazni nem kívánja meg, hogy a fogyasztói kölcsönszerződésbe foglalt, egyedileg meg nem tárgyalt, az alapügy tárgyát képezőhöz hasonló szerződési feltételekben, amelyek a fogyasztót terhelő kezelési költség összegét, azok kiszámításának módját és teljesítésének idejét pontosan meghatározzák, az érintett összegek ellenében nyújtott valamennyi szolgáltatást részletezzék.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93/13/EGK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Irányelv</w:t>
      </w:r>
      <w:r>
        <w:rPr>
          <w:vertAlign w:val="baseline"/>
        </w:rPr>
        <w:t xml:space="preserve"> 3. cikkének (1) bekezdését úgy kell értelmezni, hogy az alapügy tárgyát képezőhöz hasonló, a kölcsönszerződéshez kapcsolódó kezelési költségre vonatkozó szerződési feltétel, amely nem teszi lehetővé az e költség ellenében nyújtott konkrét szolgáltatások egyértelmű azonosítását, a felek szerződésből eredő jogaiban és kötelezettségeiben főszabály szerint nem idéz elő jelentős egyenlőtlenséget a fogyasztó kárára a jóhiszeműség követelményével ellentétben.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</w:t>
      </w:r>
      <w:r>
        <w:rPr>
          <w:vertAlign w:val="baseline"/>
        </w:rPr>
        <w:t xml:space="preserve">A fentiek értelmében tehát a kezelési költség ellenében nyújtott banki szolgáltatások részletezésének, konkretizálásának hiánya nem jelenti azt, hogy az azok kikötése nem felel meg az átláthatóság követelményének, amennyiben a ténylegesen nyújtott szolgáltatások jellege észszerűen érthető vagy levezethető teljes a szerződés egészéből.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Azon körülményekből azonban, hogy egyrészt a kezelési költség nem ellentételezés nélküli teher a fogyasztón, másrészt abból , hogy az alperes által is felhívott jogszabályok annak kikötését lehetővé teszik, még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– átlátható megfogalmazása mellett – sem következik, hogy a perbeli szerződés kezelési költségre vonatkozó rendelkezése a jóhiszeműség és az egyenlőség (arányosság)elvének is megfelel.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Ezért az elsőfokú bíróság -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részítéletében foglalt iránymutatásnak megfelelően - a megismételt eljárásban vizsgálta, és a beszerzett adatok alapján helytállóan állapította meg, hogy a kezelési költséget is magában foglaló 5,47%-os </w:t>
      </w:r>
      <w:r>
        <w:rPr>
          <w:vertAlign w:val="baseline"/>
        </w:rPr>
        <w:t xml:space="preserve">THM,</w:t>
      </w:r>
      <w:r>
        <w:rPr>
          <w:vertAlign w:val="baseline"/>
        </w:rPr>
        <w:t xml:space="preserve"> azaz „a kölcsön ára” nem tért el az ugyanezen időszakban a hasonló konstrukciójú hitelek 5,82% -os teljes hitelköltségétől, azaz a perbeli szerződéses jogviszonyban a felperesek hátrányára egyenlőtlenséget nem idéz elő.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jelen szerződésben a felpereseket terhelő, a 2,5% kamaton felüli, a kezelési költséget is tartalmazó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egyéb költség évi 2,97%, ami nem haladja meg számottevően az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lakáscélú jelzáloghiteleknél alkalmazott 1,97%-os kezelési és egyéb költséget figyelemmel arra is, hogy az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lakáscélú jelzáloghiteleknél alkalmazott, - átlagos – kamatmérték a releváns időszakban évi 3,85% volt, azaz 1,35%-kal magasabb a felperes által kikötött kamatnál.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fentiekből következően az alperes által kikötött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kezelési költség (és annak mértéke ) a felek jogviszonyában a felperesek terhére jelentős egyenlőtlenséget nem eredményez.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Figyelemmel</w:t>
      </w:r>
      <w:r>
        <w:rPr>
          <w:vertAlign w:val="baseline"/>
        </w:rPr>
        <w:t xml:space="preserve"> arra, hogy a hasonló hiteltermékekre általánosan elfogadott eljárás szerint a felek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tőkeösszeget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-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2/2014</w:t>
      </w:r>
      <w:r>
        <w:rPr>
          <w:vertAlign w:val="baseline"/>
        </w:rPr>
        <w:t xml:space="preserve">.PJE és a </w:t>
      </w:r>
      <w:r>
        <w:rPr>
          <w:vertAlign w:val="baseline"/>
        </w:rPr>
        <w:t xml:space="preserve">6/2013</w:t>
      </w:r>
      <w:r>
        <w:rPr>
          <w:vertAlign w:val="baseline"/>
        </w:rPr>
        <w:t xml:space="preserve">.PJE határozatában írt kritériumoknak is megfelelő </w:t>
      </w:r>
      <w:r>
        <w:rPr>
          <w:vertAlign w:val="baseline"/>
        </w:rPr>
        <w:t xml:space="preserve">Kockázatfeltáró</w:t>
      </w:r>
      <w:r>
        <w:rPr>
          <w:vertAlign w:val="baseline"/>
        </w:rPr>
        <w:t xml:space="preserve"> nyilatkozat aláírása mellett -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svájci frankban határozták meg, a kezelési költséget pedig a tőke százalékos arányában, ezért a kezelési költség svájci frankban történő felszámítása és megfizetése sem minősül tisztességtelennek.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fentiek értelmében az ítélőtábla a törvényszék ítéletét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254. § (3) bekezdése értelmében annak helytálló indokai alapján helybenhagyta.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ítélőtábla az rPp. 78. § (1) bekezdése alapján kötelezte a felpereseket a </w:t>
      </w:r>
      <w:r>
        <w:rPr>
          <w:vertAlign w:val="baseline"/>
        </w:rPr>
        <w:t xml:space="preserve">600.000,-</w:t>
      </w:r>
      <w:r>
        <w:rPr>
          <w:vertAlign w:val="baseline"/>
        </w:rPr>
        <w:t xml:space="preserve"> forint fellebbezési érték után számított a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(VIII.22.) </w:t>
      </w:r>
      <w:r>
        <w:rPr>
          <w:vertAlign w:val="baseline"/>
        </w:rPr>
        <w:t xml:space="preserve">IM.</w:t>
      </w:r>
      <w:r>
        <w:rPr>
          <w:vertAlign w:val="baseline"/>
        </w:rPr>
        <w:t xml:space="preserve"> Rendelet 3. § (2) bekezdés a.) pontja alapján meghatározott, </w:t>
      </w:r>
      <w:r>
        <w:rPr>
          <w:vertAlign w:val="baseline"/>
        </w:rPr>
        <w:t xml:space="preserve">38.100,-</w:t>
      </w:r>
      <w:r>
        <w:rPr>
          <w:vertAlign w:val="baseline"/>
        </w:rPr>
        <w:t xml:space="preserve"> forint összegű ügyvédi munkadíjból álló másodfokú perköltség megfizetésére.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Győr, 2021. április 14.</w:t>
      </w:r>
      <w:r>
        <w:rPr>
          <w:vertAlign w:val="baseline"/>
        </w:rPr>
        <w:t xml:space="preserve">   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Dr. Zámbó Tamás</w:t>
      </w:r>
      <w:r>
        <w:rPr>
          <w:vertAlign w:val="baseline"/>
        </w:rPr>
        <w:t xml:space="preserve"> sk.</w:t>
      </w: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Dr. Sarmon Hedvig</w:t>
      </w:r>
      <w:r>
        <w:rPr>
          <w:vertAlign w:val="baseline"/>
        </w:rPr>
        <w:t xml:space="preserve"> sk.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Dr. Szalay Róbert</w:t>
      </w:r>
      <w:r>
        <w:rPr>
          <w:vertAlign w:val="baseline"/>
        </w:rPr>
        <w:t xml:space="preserve"> sk.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tanács elnöke</w:t>
      </w:r>
      <w:r>
        <w:rPr>
          <w:vertAlign w:val="baseline"/>
        </w:rPr>
        <w:t xml:space="preserve">                                   </w:t>
      </w:r>
      <w:r>
        <w:rPr>
          <w:vertAlign w:val="baseline"/>
        </w:rPr>
        <w:t xml:space="preserve">előadó bíró</w:t>
      </w:r>
      <w:r>
        <w:rPr>
          <w:vertAlign w:val="baseline"/>
        </w:rPr>
        <w:t xml:space="preserve">                             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bíró</w:t>
      </w:r>
    </w:p>
    <w:p>
      <w:pPr>
        <w:jc w:val="left"/>
      </w:pPr>
      <w:r>
        <w:rPr>
          <w:vertAlign w:val="baseline"/>
        </w:rPr>
        <w:t xml:space="preserve">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Győri Ítélőtábla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IV.Pf.20.011/2021/8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