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másodfokú bíróság</w:t>
      </w:r>
    </w:p>
    <w:p>
      <w:pPr>
        <w:jc w:val="center"/>
      </w:pPr>
      <w:r>
        <w:rPr>
          <w:vertAlign w:val="baseline"/>
        </w:rPr>
        <w:t xml:space="preserve">  </w:t>
      </w:r>
      <w:r>
        <w:rPr>
          <w:b/>
          <w:vertAlign w:val="baseline"/>
        </w:rPr>
        <w:t xml:space="preserve">ítélete</w:t>
      </w:r>
    </w:p>
    <w:p>
      <w:pPr>
        <w:jc w:val="both"/>
      </w:pPr>
      <w:r>
        <w:rPr>
          <w:vertAlign w:val="baseline"/>
        </w:rPr>
        <w:t xml:space="preserve">  </w:t>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Kf.VII.40.392/2020/8</w:t>
      </w:r>
      <w:r>
        <w:rPr>
          <w:vertAlign w:val="baseline"/>
        </w:rPr>
        <w:t xml:space="preserve">.</w:t>
      </w:r>
    </w:p>
    <w:p>
      <w:pPr>
        <w:jc w:val="both"/>
      </w:pPr>
      <w:r>
        <w:rPr>
          <w:vertAlign w:val="baseline"/>
        </w:rPr>
        <w:t xml:space="preserve">  </w:t>
      </w:r>
      <w:r>
        <w:rPr>
          <w:b/>
          <w:vertAlign w:val="baseline"/>
        </w:rPr>
        <w:t xml:space="preserve">A tanács tagjai:</w:t>
      </w:r>
      <w:r>
        <w:rPr>
          <w:vertAlign w:val="baseline"/>
        </w:rPr>
        <w:t xml:space="preserve"> </w:t>
      </w:r>
      <w:r>
        <w:rPr>
          <w:vertAlign w:val="baseline"/>
        </w:rPr>
        <w:t xml:space="preserve"> </w:t>
      </w:r>
      <w:r>
        <w:rPr>
          <w:vertAlign w:val="baseline"/>
        </w:rPr>
        <w:t xml:space="preserve">Dr. Zanathy János</w:t>
      </w:r>
      <w:r>
        <w:rPr>
          <w:vertAlign w:val="baseline"/>
        </w:rPr>
        <w:t xml:space="preserve">  </w:t>
      </w:r>
    </w:p>
    <w:p>
      <w:pPr>
        <w:jc w:val="left"/>
      </w:pPr>
      <w:r>
        <w:rPr>
          <w:vertAlign w:val="baseline"/>
        </w:rPr>
        <w:t xml:space="preserve">                            </w:t>
      </w:r>
      <w:r>
        <w:rPr>
          <w:vertAlign w:val="baseline"/>
        </w:rPr>
        <w:t xml:space="preserve">a tanács elnöke</w:t>
      </w:r>
    </w:p>
    <w:p>
      <w:pPr>
        <w:jc w:val="both"/>
      </w:pPr>
      <w:r>
        <w:rPr>
          <w:vertAlign w:val="baseline"/>
        </w:rPr>
        <w:t xml:space="preserve">  </w:t>
      </w:r>
      <w:r>
        <w:rPr>
          <w:vertAlign w:val="baseline"/>
        </w:rPr>
        <w:t xml:space="preserve">                            </w:t>
      </w:r>
      <w:r>
        <w:rPr>
          <w:vertAlign w:val="baseline"/>
        </w:rPr>
        <w:t xml:space="preserve">Dr. Stumpf-Rádai Ágota</w:t>
      </w:r>
      <w:r>
        <w:rPr>
          <w:vertAlign w:val="baseline"/>
        </w:rPr>
        <w:t xml:space="preserve">  </w:t>
      </w:r>
    </w:p>
    <w:p>
      <w:pPr>
        <w:jc w:val="left"/>
      </w:pPr>
      <w:r>
        <w:rPr>
          <w:vertAlign w:val="baseline"/>
        </w:rPr>
        <w:t xml:space="preserve">                            </w:t>
      </w:r>
      <w:r>
        <w:rPr>
          <w:vertAlign w:val="baseline"/>
        </w:rPr>
        <w:t xml:space="preserve">előadó bíró</w:t>
      </w:r>
    </w:p>
    <w:p>
      <w:pPr>
        <w:jc w:val="both"/>
      </w:pPr>
      <w:r>
        <w:rPr>
          <w:vertAlign w:val="baseline"/>
        </w:rPr>
        <w:t xml:space="preserve">  </w:t>
      </w:r>
      <w:r>
        <w:rPr>
          <w:vertAlign w:val="baseline"/>
        </w:rPr>
        <w:t xml:space="preserve">                            </w:t>
      </w:r>
      <w:r>
        <w:rPr>
          <w:vertAlign w:val="baseline"/>
        </w:rPr>
        <w:t xml:space="preserve">Dr. Farkas Katalin</w:t>
      </w:r>
      <w:r>
        <w:rPr>
          <w:vertAlign w:val="baseline"/>
        </w:rPr>
        <w:t xml:space="preserve">  </w:t>
      </w:r>
    </w:p>
    <w:p>
      <w:pPr>
        <w:jc w:val="left"/>
      </w:pPr>
      <w:r>
        <w:rPr>
          <w:vertAlign w:val="baseline"/>
        </w:rPr>
        <w:t xml:space="preserve">                            </w:t>
      </w:r>
      <w:r>
        <w:rPr>
          <w:vertAlign w:val="baseline"/>
        </w:rPr>
        <w:t xml:space="preserve">bíró</w:t>
      </w:r>
    </w:p>
    <w:p>
      <w:pPr>
        <w:jc w:val="both"/>
      </w:pPr>
      <w:r>
        <w:rPr>
          <w:vertAlign w:val="baseline"/>
        </w:rPr>
        <w:t xml:space="preserve">  </w:t>
      </w:r>
      <w:r>
        <w:rPr>
          <w:b/>
          <w:vertAlign w:val="baseline"/>
        </w:rPr>
        <w:t xml:space="preserve">A felperes:</w:t>
      </w:r>
      <w:r>
        <w:rPr>
          <w:vertAlign w:val="baseline"/>
        </w:rPr>
        <w:t xml:space="preserve"> </w:t>
      </w:r>
      <w:r>
        <w:rPr>
          <w:vertAlign w:val="baseline"/>
        </w:rPr>
        <w:t xml:space="preserve">        </w:t>
      </w:r>
    </w:p>
    <w:p>
      <w:pPr>
        <w:jc w:val="left"/>
      </w:pPr>
      <w:r>
        <w:rPr>
          <w:b/>
          <w:vertAlign w:val="baseline"/>
        </w:rPr>
        <w:t xml:space="preserve">A felperes képviselője:</w:t>
      </w:r>
      <w:r>
        <w:rPr>
          <w:vertAlign w:val="baseline"/>
        </w:rPr>
        <w:t xml:space="preserve"> </w:t>
      </w:r>
      <w:r>
        <w:rPr>
          <w:vertAlign w:val="baseline"/>
        </w:rPr>
        <w:t xml:space="preserve">dr. Nádas György</w:t>
      </w:r>
      <w:r>
        <w:rPr>
          <w:vertAlign w:val="baseline"/>
        </w:rPr>
        <w:t xml:space="preserve"> ügyvéd</w:t>
      </w:r>
    </w:p>
    <w:p>
      <w:pPr>
        <w:jc w:val="both"/>
      </w:pPr>
      <w:r>
        <w:rPr>
          <w:vertAlign w:val="baseline"/>
        </w:rPr>
        <w:t xml:space="preserve">  </w:t>
      </w:r>
      <w:r>
        <w:rPr>
          <w:b/>
          <w:vertAlign w:val="baseline"/>
        </w:rPr>
        <w:t xml:space="preserve">Az I. rendű alperes:</w:t>
      </w:r>
      <w:r>
        <w:rPr>
          <w:vertAlign w:val="baseline"/>
        </w:rPr>
        <w:t xml:space="preserve"> </w:t>
      </w:r>
      <w:r>
        <w:rPr>
          <w:vertAlign w:val="baseline"/>
        </w:rPr>
        <w:t xml:space="preserve">...</w:t>
      </w:r>
      <w:r>
        <w:rPr>
          <w:vertAlign w:val="baseline"/>
        </w:rPr>
        <w:t xml:space="preserve"> </w:t>
      </w:r>
      <w:r>
        <w:rPr>
          <w:vertAlign w:val="baseline"/>
        </w:rPr>
        <w:t xml:space="preserve">Megyei Kormányhivatal</w:t>
      </w:r>
      <w:r>
        <w:rPr>
          <w:vertAlign w:val="baseline"/>
        </w:rPr>
        <w:t xml:space="preserve">  </w:t>
      </w:r>
    </w:p>
    <w:p>
      <w:pPr>
        <w:jc w:val="both"/>
      </w:pPr>
      <w:r>
        <w:rPr>
          <w:vertAlign w:val="baseline"/>
        </w:rPr>
        <w:t xml:space="preserve">  </w:t>
      </w:r>
      <w:r>
        <w:rPr>
          <w:b/>
          <w:vertAlign w:val="baseline"/>
        </w:rPr>
        <w:t xml:space="preserve">A </w:t>
      </w:r>
      <w:r>
        <w:rPr>
          <w:b/>
          <w:vertAlign w:val="baseline"/>
        </w:rPr>
        <w:t xml:space="preserve">II.</w:t>
      </w:r>
      <w:r>
        <w:rPr>
          <w:b/>
          <w:vertAlign w:val="baseline"/>
        </w:rPr>
        <w:t xml:space="preserve"> rendű alperes:</w:t>
      </w:r>
      <w:r>
        <w:rPr>
          <w:vertAlign w:val="baseline"/>
        </w:rPr>
        <w:t xml:space="preserve"> </w:t>
      </w:r>
      <w:r>
        <w:rPr>
          <w:vertAlign w:val="baseline"/>
        </w:rPr>
        <w:t xml:space="preserve">.</w:t>
      </w:r>
      <w:r>
        <w:rPr>
          <w:vertAlign w:val="baseline"/>
        </w:rPr>
        <w:t xml:space="preserve">.</w:t>
      </w:r>
      <w:r>
        <w:rPr>
          <w:vertAlign w:val="baseline"/>
        </w:rPr>
        <w:t xml:space="preserve">.</w:t>
      </w:r>
      <w:r>
        <w:rPr>
          <w:vertAlign w:val="baseline"/>
        </w:rPr>
        <w:t xml:space="preserve"> </w:t>
      </w:r>
      <w:r>
        <w:rPr>
          <w:vertAlign w:val="baseline"/>
        </w:rPr>
        <w:t xml:space="preserve">Megyei Kormányhivatal ... Járási Hivatala</w:t>
      </w:r>
      <w:r>
        <w:rPr>
          <w:vertAlign w:val="baseline"/>
        </w:rPr>
        <w:t xml:space="preserve">  </w:t>
      </w:r>
    </w:p>
    <w:p>
      <w:pPr>
        <w:jc w:val="both"/>
      </w:pPr>
      <w:r>
        <w:rPr>
          <w:vertAlign w:val="baseline"/>
        </w:rPr>
        <w:t xml:space="preserve"> </w:t>
      </w:r>
      <w:r>
        <w:rPr>
          <w:b/>
          <w:vertAlign w:val="baseline"/>
        </w:rPr>
        <w:t xml:space="preserve">Az alperesek képviselője:</w:t>
      </w:r>
      <w:r>
        <w:rPr>
          <w:vertAlign w:val="baseline"/>
        </w:rPr>
        <w:t xml:space="preserve"> </w:t>
      </w:r>
      <w:r>
        <w:rPr>
          <w:vertAlign w:val="baseline"/>
        </w:rPr>
        <w:t xml:space="preserve">...</w:t>
      </w:r>
      <w:r>
        <w:rPr>
          <w:vertAlign w:val="baseline"/>
        </w:rPr>
        <w:t xml:space="preserve"> kamarai jogtanácsos</w:t>
      </w:r>
      <w:r>
        <w:rPr>
          <w:vertAlign w:val="baseline"/>
        </w:rPr>
        <w:t xml:space="preserve">  </w:t>
      </w:r>
    </w:p>
    <w:p>
      <w:pPr>
        <w:jc w:val="left"/>
      </w:pPr>
      <w:r>
        <w:rPr>
          <w:b/>
          <w:vertAlign w:val="baseline"/>
        </w:rPr>
        <w:t xml:space="preserve">A per tárgya:</w:t>
      </w:r>
      <w:r>
        <w:rPr>
          <w:vertAlign w:val="baseline"/>
        </w:rPr>
        <w:t xml:space="preserve"> </w:t>
      </w:r>
      <w:r>
        <w:rPr>
          <w:vertAlign w:val="baseline"/>
        </w:rPr>
        <w:t xml:space="preserve">    </w:t>
      </w:r>
      <w:r>
        <w:rPr>
          <w:vertAlign w:val="baseline"/>
        </w:rPr>
        <w:t xml:space="preserve">mulasztási per</w:t>
      </w:r>
    </w:p>
    <w:p>
      <w:pPr>
        <w:jc w:val="both"/>
      </w:pPr>
      <w:r>
        <w:rPr>
          <w:vertAlign w:val="baseline"/>
        </w:rPr>
        <w:t xml:space="preserve">  </w:t>
      </w:r>
      <w:r>
        <w:rPr>
          <w:b/>
          <w:vertAlign w:val="baseline"/>
        </w:rPr>
        <w:t xml:space="preserve">A fellebbezést benyújtó felek: </w:t>
      </w:r>
      <w:r>
        <w:rPr>
          <w:vertAlign w:val="baseline"/>
        </w:rPr>
        <w:t xml:space="preserve">alperesek</w:t>
      </w:r>
      <w:r>
        <w:rPr>
          <w:vertAlign w:val="baseline"/>
        </w:rPr>
        <w:t xml:space="preserve">  </w:t>
      </w:r>
    </w:p>
    <w:p>
      <w:pPr>
        <w:jc w:val="left"/>
      </w:pPr>
      <w:r>
        <w:rPr>
          <w:b/>
          <w:vertAlign w:val="baseline"/>
        </w:rPr>
        <w:t xml:space="preserve">A fellebbezéssel érintett határozat:</w:t>
      </w:r>
      <w:r>
        <w:rPr>
          <w:vertAlign w:val="baseline"/>
        </w:rPr>
        <w:t xml:space="preserve"> </w:t>
      </w:r>
      <w:r>
        <w:rPr>
          <w:vertAlign w:val="baseline"/>
        </w:rPr>
        <w:t xml:space="preserve">Debreceni Törvényszék</w:t>
      </w:r>
      <w:r>
        <w:rPr>
          <w:vertAlign w:val="baseline"/>
        </w:rPr>
        <w:t xml:space="preserve"> </w:t>
      </w:r>
      <w:r>
        <w:rPr>
          <w:vertAlign w:val="baseline"/>
        </w:rPr>
        <w:t xml:space="preserve">12.K.701.701/2020/6</w:t>
      </w:r>
      <w:r>
        <w:rPr>
          <w:vertAlign w:val="baseline"/>
        </w:rPr>
        <w:t xml:space="preserve">.</w:t>
      </w:r>
    </w:p>
    <w:p>
      <w:pPr>
        <w:jc w:val="both"/>
      </w:pPr>
      <w:r>
        <w:rPr>
          <w:vertAlign w:val="baseline"/>
        </w:rPr>
        <w:t xml:space="preserve"> </w:t>
      </w:r>
    </w:p>
    <w:p>
      <w:pPr>
        <w:jc w:val="both"/>
      </w:pPr>
      <w:r>
        <w:rPr>
          <w:b/>
          <w:vertAlign w:val="baseline"/>
        </w:rPr>
        <w:t xml:space="preserve">Rendelkező rész</w:t>
      </w:r>
    </w:p>
    <w:p>
      <w:pPr>
        <w:jc w:val="both"/>
      </w:pP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Debreceni Törvényszék</w:t>
      </w:r>
      <w:r>
        <w:rPr>
          <w:vertAlign w:val="baseline"/>
        </w:rPr>
        <w:t xml:space="preserve"> </w:t>
      </w:r>
      <w:r>
        <w:rPr>
          <w:vertAlign w:val="baseline"/>
        </w:rPr>
        <w:t xml:space="preserve">12.K.701.701/2020/6</w:t>
      </w:r>
      <w:r>
        <w:rPr>
          <w:vertAlign w:val="baseline"/>
        </w:rPr>
        <w:t xml:space="preserve">. számú ítéletét helybenhagyja.</w:t>
      </w:r>
    </w:p>
    <w:p>
      <w:pPr>
        <w:jc w:val="both"/>
      </w:pPr>
      <w:r>
        <w:rPr>
          <w:vertAlign w:val="baseline"/>
        </w:rPr>
        <w:t xml:space="preserve"> </w:t>
      </w:r>
    </w:p>
    <w:p>
      <w:pPr>
        <w:jc w:val="both"/>
      </w:pPr>
      <w:r>
        <w:rPr>
          <w:vertAlign w:val="baseline"/>
        </w:rPr>
        <w:t xml:space="preserve">Kötelezi az alpereseket, hogy 15 napon belül fizessenek meg egyetemlegesen a felperesnek 25.400 forint (huszonötezer-négyszáz) forint perköltséget.</w:t>
      </w:r>
    </w:p>
    <w:p>
      <w:pPr>
        <w:jc w:val="both"/>
      </w:pPr>
      <w:r>
        <w:rPr>
          <w:vertAlign w:val="baseline"/>
        </w:rPr>
        <w:t xml:space="preserve"> </w:t>
      </w:r>
    </w:p>
    <w:p>
      <w:pPr>
        <w:jc w:val="both"/>
      </w:pPr>
      <w:r>
        <w:rPr>
          <w:vertAlign w:val="baseline"/>
        </w:rPr>
        <w:t xml:space="preserve">A fellebbezés illetékét a magyar állam viseli.</w:t>
      </w:r>
    </w:p>
    <w:p>
      <w:pPr>
        <w:jc w:val="both"/>
      </w:pPr>
      <w:r>
        <w:rPr>
          <w:vertAlign w:val="baseline"/>
        </w:rPr>
        <w:t xml:space="preserve"> </w:t>
      </w:r>
    </w:p>
    <w:p>
      <w:pPr>
        <w:jc w:val="both"/>
      </w:pPr>
      <w:r>
        <w:rPr>
          <w:vertAlign w:val="baseline"/>
        </w:rPr>
        <w:t xml:space="preserve">Az ítélet ellen további jogorvoslatnak nincs helye.</w:t>
      </w:r>
    </w:p>
    <w:p>
      <w:pPr>
        <w:jc w:val="both"/>
      </w:pPr>
      <w:r>
        <w:rPr>
          <w:vertAlign w:val="baseline"/>
        </w:rPr>
        <w:t xml:space="preserve"> </w:t>
      </w:r>
    </w:p>
    <w:p>
      <w:pPr>
        <w:jc w:val="center"/>
      </w:pPr>
      <w:r>
        <w:rPr>
          <w:vertAlign w:val="baseline"/>
        </w:rPr>
        <w:t xml:space="preserve">Indokolás</w:t>
      </w:r>
    </w:p>
    <w:p>
      <w:pPr>
        <w:jc w:val="both"/>
      </w:pPr>
      <w:r>
        <w:rPr>
          <w:vertAlign w:val="baseline"/>
        </w:rPr>
        <w:t xml:space="preserve"> </w:t>
      </w:r>
    </w:p>
    <w:p>
      <w:pPr>
        <w:jc w:val="both"/>
      </w:pPr>
      <w:r>
        <w:rPr>
          <w:b/>
          <w:vertAlign w:val="baseline"/>
        </w:rPr>
        <w:t xml:space="preserve">Tényállás</w:t>
      </w:r>
    </w:p>
    <w:p>
      <w:pPr>
        <w:jc w:val="both"/>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felperes 2006. február 6. napjától kezdődően rehabilitációs járadékban részesült, amely 2012. január 1-jétől rehabilitációs ellátásként került továbbfolyósításra.</w:t>
      </w:r>
    </w:p>
    <w:p>
      <w:pPr>
        <w:jc w:val="both"/>
      </w:pPr>
      <w:r>
        <w:rPr>
          <w:vertAlign w:val="baseline"/>
        </w:rPr>
        <w:t xml:space="preserve">  </w:t>
      </w:r>
      <w:r>
        <w:rPr>
          <w:vertAlign w:val="baseline"/>
        </w:rPr>
        <w:t xml:space="preserve">[2]</w:t>
      </w:r>
      <w:r>
        <w:rPr>
          <w:vertAlign w:val="baseline"/>
        </w:rPr>
        <w:t xml:space="preserve">        </w:t>
      </w:r>
      <w:r>
        <w:rPr>
          <w:vertAlign w:val="baseline"/>
        </w:rPr>
        <w:t xml:space="preserve">A </w:t>
      </w:r>
      <w:r>
        <w:rPr>
          <w:vertAlign w:val="baseline"/>
        </w:rPr>
        <w:t xml:space="preserve">...</w:t>
      </w:r>
      <w:r>
        <w:rPr>
          <w:vertAlign w:val="baseline"/>
        </w:rPr>
        <w:t xml:space="preserve"> </w:t>
      </w:r>
      <w:r>
        <w:rPr>
          <w:vertAlign w:val="baseline"/>
        </w:rPr>
        <w:t xml:space="preserve">Megyei Kormányhivatal Nyugdíjbiztosítási Igazgatósága</w:t>
      </w:r>
      <w:r>
        <w:rPr>
          <w:vertAlign w:val="baseline"/>
        </w:rPr>
        <w:t xml:space="preserve"> 2012. június 25. napján kelt </w:t>
      </w:r>
      <w:r>
        <w:rPr>
          <w:vertAlign w:val="baseline"/>
        </w:rPr>
        <w:t xml:space="preserve">.</w:t>
      </w:r>
      <w:r>
        <w:rPr>
          <w:vertAlign w:val="baseline"/>
        </w:rPr>
        <w:t xml:space="preserve">.</w:t>
      </w:r>
      <w:r>
        <w:rPr>
          <w:vertAlign w:val="baseline"/>
        </w:rPr>
        <w:t xml:space="preserve">. számú határozattal 2012. szeptember 1-től 2015. augusztus 31-ig rehabilitációs ellátást állapított meg a felperes részére figyelemmel az 50%-os egészségi állapotára, amely alapján C1 minősítési csoportba sorolták. A felperes a határozattal szemben jogorvoslattal nem élt. A felperes a rehabilitációs vélemény alapján a rehabilitációs ellátás melletti együttműködési kötelezettségének 2012. október 16. napjától 2015. október 13. napjáig eleget tett.  </w:t>
      </w:r>
    </w:p>
    <w:p>
      <w:pPr>
        <w:jc w:val="both"/>
      </w:pPr>
      <w:r>
        <w:rPr>
          <w:vertAlign w:val="baseline"/>
        </w:rPr>
        <w:t xml:space="preserve">[3]</w:t>
      </w:r>
      <w:r>
        <w:rPr>
          <w:vertAlign w:val="baseline"/>
        </w:rPr>
        <w:t xml:space="preserve">        </w:t>
      </w:r>
      <w:r>
        <w:rPr>
          <w:vertAlign w:val="baseline"/>
        </w:rPr>
        <w:t xml:space="preserve">A felperes 2015. március 10. napján előterjesztett megváltozott munkaképességű személyek ellátása iránti kérelme folytán a rehabilitációs hatóság 2015. szeptember 9. napján kelt </w:t>
      </w:r>
      <w:r>
        <w:rPr>
          <w:vertAlign w:val="baseline"/>
        </w:rPr>
        <w:t xml:space="preserve">.</w:t>
      </w:r>
      <w:r>
        <w:rPr>
          <w:vertAlign w:val="baseline"/>
        </w:rPr>
        <w:t xml:space="preserve">.</w:t>
      </w:r>
      <w:r>
        <w:rPr>
          <w:vertAlign w:val="baseline"/>
        </w:rPr>
        <w:t xml:space="preserve">.</w:t>
      </w:r>
      <w:r>
        <w:rPr>
          <w:vertAlign w:val="baseline"/>
        </w:rPr>
        <w:t xml:space="preserve">. számú határozattal a rehabilitációs pénzbeli ellátást 2015. szeptember 1. napjától megszüntette és a 2015. szeptember 11. napján kelt </w:t>
      </w:r>
      <w:r>
        <w:rPr>
          <w:vertAlign w:val="baseline"/>
        </w:rPr>
        <w:t xml:space="preserve">.</w:t>
      </w:r>
      <w:r>
        <w:rPr>
          <w:vertAlign w:val="baseline"/>
        </w:rPr>
        <w:t xml:space="preserve">.</w:t>
      </w:r>
      <w:r>
        <w:rPr>
          <w:vertAlign w:val="baseline"/>
        </w:rPr>
        <w:t xml:space="preserve">.</w:t>
      </w:r>
      <w:r>
        <w:rPr>
          <w:vertAlign w:val="baseline"/>
        </w:rPr>
        <w:t xml:space="preserve">. számú határozattal – C2 minősítési csoport figyelembevételével – a felperes részére 2015. szeptember 1-től rokkantsági ellátást állapított meg. A rehabilitációs hatóság felülvizsgálati eljárás során a 2017. május 5. napján kelt </w:t>
      </w:r>
      <w:r>
        <w:rPr>
          <w:vertAlign w:val="baseline"/>
        </w:rPr>
        <w:t xml:space="preserve">.</w:t>
      </w:r>
      <w:r>
        <w:rPr>
          <w:vertAlign w:val="baseline"/>
        </w:rPr>
        <w:t xml:space="preserve">.</w:t>
      </w:r>
      <w:r>
        <w:rPr>
          <w:vertAlign w:val="baseline"/>
        </w:rPr>
        <w:t xml:space="preserve">. számú határozattal a rokkantsági ellátás továbbfolyósításáról döntött. A fellebbezés folytán eljáró másodfokú rehabilitációs hatóság 2017. szeptember 4. napján kelt </w:t>
      </w:r>
      <w:r>
        <w:rPr>
          <w:vertAlign w:val="baseline"/>
        </w:rPr>
        <w:t xml:space="preserve">.</w:t>
      </w:r>
      <w:r>
        <w:rPr>
          <w:vertAlign w:val="baseline"/>
        </w:rPr>
        <w:t xml:space="preserve">.</w:t>
      </w:r>
      <w:r>
        <w:rPr>
          <w:vertAlign w:val="baseline"/>
        </w:rPr>
        <w:t xml:space="preserve">. számú határozatával helybenhagyta az elsőfokú hatóság határozatát tekintettel arra, hogy a felperes 41%-os egészségi állapota alapján C2 minősítési kategóriába tartozik, felülvizsgálat</w:t>
      </w:r>
      <w:r>
        <w:rPr>
          <w:vertAlign w:val="baseline"/>
        </w:rPr>
        <w:t xml:space="preserve">át</w:t>
      </w:r>
      <w:r>
        <w:rPr>
          <w:vertAlign w:val="baseline"/>
        </w:rPr>
        <w:t xml:space="preserve"> nem javasolta.</w:t>
      </w:r>
    </w:p>
    <w:p>
      <w:pPr>
        <w:jc w:val="both"/>
      </w:pPr>
      <w:r>
        <w:rPr>
          <w:vertAlign w:val="baseline"/>
        </w:rPr>
        <w:t xml:space="preserve"> </w:t>
      </w:r>
      <w:r>
        <w:rPr>
          <w:vertAlign w:val="baseline"/>
        </w:rPr>
        <w:t xml:space="preserve">[4]</w:t>
      </w:r>
      <w:r>
        <w:rPr>
          <w:vertAlign w:val="baseline"/>
        </w:rPr>
        <w:t xml:space="preserve">        </w:t>
      </w:r>
      <w:r>
        <w:rPr>
          <w:vertAlign w:val="baseline"/>
        </w:rPr>
        <w:t xml:space="preserve">A felperes 2019. december 13. napján </w:t>
      </w:r>
      <w:r>
        <w:rPr>
          <w:vertAlign w:val="baseline"/>
        </w:rPr>
        <w:t xml:space="preserve">II.</w:t>
      </w:r>
      <w:r>
        <w:rPr>
          <w:vertAlign w:val="baseline"/>
        </w:rPr>
        <w:t xml:space="preserve"> rendű alpereshez előterjesztett kérelmében sérelmezte, hogy 2012. szeptember 1. napjától kezdődően a szakértői szerv megállapítása szerint 50%-os mértékű egészségi állapota mellett a rehabilitációját és tartós foglalkoztatási rehabilitációját javasolták annak ellenére, hogy korábban komplex rehabilitációját nem javasolták, ennek következtében a </w:t>
      </w:r>
      <w:r>
        <w:rPr>
          <w:vertAlign w:val="baseline"/>
        </w:rPr>
        <w:t xml:space="preserve">123.565</w:t>
      </w:r>
      <w:r>
        <w:rPr>
          <w:vertAlign w:val="baseline"/>
        </w:rPr>
        <w:t xml:space="preserve"> forint havi összegű rehabilitációs ellátását havi 57.440 forint összegre csökkentették. A felperes álláspontja szerint a </w:t>
      </w:r>
      <w:r>
        <w:rPr>
          <w:vertAlign w:val="baseline"/>
        </w:rPr>
        <w:t xml:space="preserve">.</w:t>
      </w:r>
      <w:r>
        <w:rPr>
          <w:vertAlign w:val="baseline"/>
        </w:rPr>
        <w:t xml:space="preserve">.</w:t>
      </w:r>
      <w:r>
        <w:rPr>
          <w:vertAlign w:val="baseline"/>
        </w:rPr>
        <w:t xml:space="preserve">.</w:t>
      </w:r>
      <w:r>
        <w:rPr>
          <w:vertAlign w:val="baseline"/>
        </w:rPr>
        <w:t xml:space="preserve"> </w:t>
      </w:r>
      <w:r>
        <w:rPr>
          <w:vertAlign w:val="baseline"/>
        </w:rPr>
        <w:t xml:space="preserve">Megyei Kormányhivatal Nyugdíjbiztosítási Igazgatósága</w:t>
      </w:r>
      <w:r>
        <w:rPr>
          <w:vertAlign w:val="baseline"/>
        </w:rPr>
        <w:t xml:space="preserve"> a 2012. június 25. napján kelt</w:t>
      </w:r>
      <w:r>
        <w:rPr>
          <w:vertAlign w:val="baseline"/>
        </w:rPr>
        <w:t xml:space="preserve">.</w:t>
      </w:r>
      <w:r>
        <w:rPr>
          <w:vertAlign w:val="baseline"/>
        </w:rPr>
        <w:t xml:space="preserve">.</w:t>
      </w:r>
      <w:r>
        <w:rPr>
          <w:vertAlign w:val="baseline"/>
        </w:rPr>
        <w:t xml:space="preserve">. számú határozatával </w:t>
      </w:r>
      <w:r>
        <w:rPr>
          <w:vertAlign w:val="baseline"/>
        </w:rPr>
        <w:t xml:space="preserve">Alaptörvénybe,</w:t>
      </w:r>
      <w:r>
        <w:rPr>
          <w:vertAlign w:val="baseline"/>
        </w:rPr>
        <w:t xml:space="preserve"> valamint a megváltozott munkaképességű személyek ellátásairól és egyes törvények módosításáról szóló 2011. évi </w:t>
      </w:r>
      <w:r>
        <w:rPr>
          <w:vertAlign w:val="baseline"/>
        </w:rPr>
        <w:t xml:space="preserve">CXCI.</w:t>
      </w:r>
      <w:r>
        <w:rPr>
          <w:vertAlign w:val="baseline"/>
        </w:rPr>
        <w:t xml:space="preserve"> törvény (Mmtv.) 5. § (1) bekezdésébe, 33. § </w:t>
      </w:r>
      <w:r>
        <w:rPr>
          <w:vertAlign w:val="baseline"/>
        </w:rPr>
        <w:t xml:space="preserve">(7)-(8)</w:t>
      </w:r>
      <w:r>
        <w:rPr>
          <w:vertAlign w:val="baseline"/>
        </w:rPr>
        <w:t xml:space="preserve"> bekezdésébe, a komplex minősítésre vonatkozó részletes szabályokról szóló </w:t>
      </w:r>
      <w:r>
        <w:rPr>
          <w:vertAlign w:val="baseline"/>
        </w:rPr>
        <w:t xml:space="preserve">7/2012</w:t>
      </w:r>
      <w:r>
        <w:rPr>
          <w:vertAlign w:val="baseline"/>
        </w:rPr>
        <w:t xml:space="preserve">. (II. 14.) </w:t>
      </w:r>
      <w:r>
        <w:rPr>
          <w:vertAlign w:val="baseline"/>
        </w:rPr>
        <w:t xml:space="preserve">NEFMI</w:t>
      </w:r>
      <w:r>
        <w:rPr>
          <w:vertAlign w:val="baseline"/>
        </w:rPr>
        <w:t xml:space="preserve"> rendelet (NEFMI rendelet) 3. § (1) bekezdésébe és 4. § (1) bekezdésébe ütközően szüntette meg a korábban járó rokkantsági nyugdíját és állapította meg rehabilitációs ellátást. A hatóság az</w:t>
      </w:r>
      <w:r>
        <w:rPr>
          <w:vertAlign w:val="baseline"/>
        </w:rPr>
        <w:t xml:space="preserve">  </w:t>
      </w:r>
      <w:r>
        <w:rPr>
          <w:vertAlign w:val="baseline"/>
        </w:rPr>
        <w:t xml:space="preserve">egy évvel korábbi döntésétől eltért a rehabilitálhatóság tekintetében. Sérelmezte, hogy a 2012. júniusi felülvizsgálata során a </w:t>
      </w:r>
      <w:r>
        <w:rPr>
          <w:vertAlign w:val="baseline"/>
        </w:rPr>
        <w:t xml:space="preserve">NEFMI</w:t>
      </w:r>
      <w:r>
        <w:rPr>
          <w:vertAlign w:val="baseline"/>
        </w:rPr>
        <w:t xml:space="preserve"> rendeletben foglalt szempontokat a szakvéleményben és annak mellékletét képező rehabilitációs javaslatban nem vették figyelembe, azok értékelése az eljárás során elmaradt, ezáltal a rehabilitációs ellátás megállapítása jogellenes, mivel az </w:t>
      </w:r>
      <w:r>
        <w:rPr>
          <w:vertAlign w:val="baseline"/>
        </w:rPr>
        <w:t xml:space="preserve">Mmtv.</w:t>
      </w:r>
      <w:r>
        <w:rPr>
          <w:vertAlign w:val="baseline"/>
        </w:rPr>
        <w:t xml:space="preserve"> 5. § (1) bekezdése alapján rokkantsági ellátás megállapításának lett volna helye. Utalt arra, hogy 2015. május 4-én kelt határozattal a rehabilitációs ellátást megszüntették, mert a felperes akkori felülvizsgálata eredményeként egészségi állapotának 48%-os mértékére (C2) figyelemmel, valamint foglalkoztatási rehabilitációs javaslatra tekintettel rokkantsági ellátást állapítottak meg a részére. Nem életszerű, hogy 3 év alatt ilyen mértékű negatív változás következett be a rehabilitálhatóság tekintetében, sokkal inkább arra következtetett, hogy a rehabilitálhatóságát kizáró tényezők már 2011. márciusában fennálltak. A felperes részére 2015. szeptember 1. napjától kezdődően 56.805 forint havi rokkantsági ellátás került megállapításra.</w:t>
      </w:r>
    </w:p>
    <w:p>
      <w:pPr>
        <w:jc w:val="left"/>
      </w:pPr>
      <w:r>
        <w:rPr>
          <w:vertAlign w:val="baseline"/>
        </w:rPr>
        <w:t xml:space="preserve">  </w:t>
      </w:r>
      <w:r>
        <w:rPr>
          <w:vertAlign w:val="baseline"/>
        </w:rPr>
        <w:t xml:space="preserve">[5]</w:t>
      </w:r>
      <w:r>
        <w:rPr>
          <w:vertAlign w:val="baseline"/>
        </w:rPr>
        <w:t xml:space="preserve">        </w:t>
      </w:r>
      <w:r>
        <w:rPr>
          <w:vertAlign w:val="baseline"/>
        </w:rPr>
        <w:t xml:space="preserve">A felperes az </w:t>
      </w:r>
      <w:r>
        <w:rPr>
          <w:vertAlign w:val="baseline"/>
        </w:rPr>
        <w:t xml:space="preserve">Mmtv.</w:t>
      </w:r>
      <w:r>
        <w:rPr>
          <w:vertAlign w:val="baseline"/>
        </w:rPr>
        <w:t xml:space="preserve"> 19/A. § (1) bekezdése, 20. § (2) bekezdése, valamint a kötelező egészségbiztosítás ellátásairól szóló 1997. évi </w:t>
      </w:r>
      <w:r>
        <w:rPr>
          <w:vertAlign w:val="baseline"/>
        </w:rPr>
        <w:t xml:space="preserve">LXXXIII</w:t>
      </w:r>
      <w:r>
        <w:rPr>
          <w:vertAlign w:val="baseline"/>
        </w:rPr>
        <w:t xml:space="preserve">. törvény (Ebtv.) 61. § (7) bekezdésére hivatkozással kérte 2015. január 1. napjától kezdődően a rokkantsági ellátás megállapítását, valamint időközben keletkezett </w:t>
      </w:r>
      <w:r>
        <w:rPr>
          <w:vertAlign w:val="baseline"/>
        </w:rPr>
        <w:t xml:space="preserve">4.996.800</w:t>
      </w:r>
      <w:r>
        <w:rPr>
          <w:vertAlign w:val="baseline"/>
        </w:rPr>
        <w:t xml:space="preserve"> forint különbözet megfizetését és ezen összeg után az adózás rendjéről szóló 2017. évi </w:t>
      </w:r>
      <w:r>
        <w:rPr>
          <w:vertAlign w:val="baseline"/>
        </w:rPr>
        <w:t xml:space="preserve">CL.</w:t>
      </w:r>
      <w:r>
        <w:rPr>
          <w:vertAlign w:val="baseline"/>
        </w:rPr>
        <w:t xml:space="preserve"> törvény (</w:t>
      </w:r>
      <w:r>
        <w:rPr>
          <w:vertAlign w:val="baseline"/>
        </w:rPr>
        <w:t xml:space="preserve">Art.</w:t>
      </w:r>
      <w:r>
        <w:rPr>
          <w:vertAlign w:val="baseline"/>
        </w:rPr>
        <w:t xml:space="preserve">) 209. § (1) bekezdésében meghatározott mértékű késedelmi pótlék megfizetését.  </w:t>
      </w:r>
    </w:p>
    <w:p>
      <w:pPr>
        <w:jc w:val="both"/>
      </w:pPr>
      <w:r>
        <w:rPr>
          <w:vertAlign w:val="baseline"/>
        </w:rPr>
        <w:t xml:space="preserve">[6]</w:t>
      </w:r>
      <w:r>
        <w:rPr>
          <w:vertAlign w:val="baseline"/>
        </w:rPr>
        <w:t xml:space="preserve">        </w:t>
      </w:r>
      <w:r>
        <w:rPr>
          <w:vertAlign w:val="baseline"/>
        </w:rPr>
        <w:t xml:space="preserve">A </w:t>
      </w:r>
      <w:r>
        <w:rPr>
          <w:vertAlign w:val="baseline"/>
        </w:rPr>
        <w:t xml:space="preserve">II.</w:t>
      </w:r>
      <w:r>
        <w:rPr>
          <w:vertAlign w:val="baseline"/>
        </w:rPr>
        <w:t xml:space="preserve"> rendű alperes a 2020. február 10-én tájékoztató levelében felhívta a felperes figyelmét arra, hogy a kifogásolt 2012. évi határozattal szemben fellebbezéssel nem élt, ezért az jogerőre emelkedett, valamint jogerős a többi, felperes jelenlegi ellátását is megállapító határozat. A felperes ügyeiben született határozatok az alapjukat képező szakvélemények és a hatályban lévő jogszabályok alapján kerültek meghozatalra, erre tekintettel a rehabilitációs hatóság a döntéseit változatlanul fenntartja, a rokkantsági ellátás újbóli megállapítására nem lát törvényi lehetőséget.</w:t>
      </w:r>
    </w:p>
    <w:p>
      <w:pPr>
        <w:jc w:val="left"/>
      </w:pPr>
      <w:r>
        <w:rPr>
          <w:vertAlign w:val="baseline"/>
        </w:rPr>
        <w:t xml:space="preserve"> </w:t>
      </w:r>
      <w:r>
        <w:rPr>
          <w:vertAlign w:val="baseline"/>
        </w:rPr>
        <w:t xml:space="preserve">[7]</w:t>
      </w:r>
      <w:r>
        <w:rPr>
          <w:vertAlign w:val="baseline"/>
        </w:rPr>
        <w:t xml:space="preserve">        </w:t>
      </w:r>
      <w:r>
        <w:rPr>
          <w:vertAlign w:val="baseline"/>
        </w:rPr>
        <w:t xml:space="preserve">A felperes 2020. március 13-án </w:t>
      </w:r>
      <w:r>
        <w:rPr>
          <w:vertAlign w:val="baseline"/>
        </w:rPr>
        <w:t xml:space="preserve">kérelmet terjesztett elő</w:t>
      </w:r>
      <w:r>
        <w:rPr>
          <w:vertAlign w:val="baseline"/>
        </w:rPr>
        <w:t xml:space="preserve"> az </w:t>
      </w:r>
      <w:r>
        <w:rPr>
          <w:vertAlign w:val="baseline"/>
        </w:rPr>
        <w:t xml:space="preserve">Emberi Erőforrások Miniszteréhez,</w:t>
      </w:r>
      <w:r>
        <w:rPr>
          <w:vertAlign w:val="baseline"/>
        </w:rPr>
        <w:t xml:space="preserve"> mint felügyeleti eljárás lefolytatására jogosult szervhez, mert a a </w:t>
      </w:r>
      <w:r>
        <w:rPr>
          <w:vertAlign w:val="baseline"/>
        </w:rPr>
        <w:t xml:space="preserve">II.</w:t>
      </w:r>
      <w:r>
        <w:rPr>
          <w:vertAlign w:val="baseline"/>
        </w:rPr>
        <w:t xml:space="preserve"> rendű alperes a 2019. december 13-án benyújtott kérelmére az általános közigazgatási rendtartásról szóló 2016. évi </w:t>
      </w:r>
      <w:r>
        <w:rPr>
          <w:vertAlign w:val="baseline"/>
        </w:rPr>
        <w:t xml:space="preserve">CL.</w:t>
      </w:r>
      <w:r>
        <w:rPr>
          <w:vertAlign w:val="baseline"/>
        </w:rPr>
        <w:t xml:space="preserve"> törvény (Ákr.) 50. § (2) bekezdés c) pontjában foglalt határidőben döntést nem hozott, határozatot nem közölt vele. Kérte, hogy a felügyeleti szerv az </w:t>
      </w:r>
      <w:r>
        <w:rPr>
          <w:vertAlign w:val="baseline"/>
        </w:rPr>
        <w:t xml:space="preserve">Ákr.</w:t>
      </w:r>
      <w:r>
        <w:rPr>
          <w:vertAlign w:val="baseline"/>
        </w:rPr>
        <w:t xml:space="preserve"> 38. §, 50. § </w:t>
      </w:r>
      <w:r>
        <w:rPr>
          <w:vertAlign w:val="baseline"/>
        </w:rPr>
        <w:t xml:space="preserve">(2)-(4)</w:t>
      </w:r>
      <w:r>
        <w:rPr>
          <w:vertAlign w:val="baseline"/>
        </w:rPr>
        <w:t xml:space="preserve"> bekezdésének megsértésével a határozathozatali kötelezettség elmulasztása miatt az </w:t>
      </w:r>
      <w:r>
        <w:rPr>
          <w:vertAlign w:val="baseline"/>
        </w:rPr>
        <w:t xml:space="preserve">Ákr.</w:t>
      </w:r>
      <w:r>
        <w:rPr>
          <w:vertAlign w:val="baseline"/>
        </w:rPr>
        <w:t xml:space="preserve"> 15. § (2) bekezdése és a 121. § (1) bekezdés a) pontja alapján a rehabilitációs hatóság mulasztását állapítsa meg és utasítsa a határozat meghozatalára.  </w:t>
      </w:r>
    </w:p>
    <w:p>
      <w:pPr>
        <w:jc w:val="both"/>
      </w:pPr>
      <w:r>
        <w:rPr>
          <w:vertAlign w:val="baseline"/>
        </w:rPr>
        <w:t xml:space="preserve">[8]</w:t>
      </w:r>
      <w:r>
        <w:rPr>
          <w:vertAlign w:val="baseline"/>
        </w:rPr>
        <w:t xml:space="preserve">        </w:t>
      </w:r>
      <w:r>
        <w:rPr>
          <w:vertAlign w:val="baseline"/>
        </w:rPr>
        <w:t xml:space="preserve">Az Emberi Erőforrások Minisztériuma Támogatási</w:t>
      </w:r>
      <w:r>
        <w:rPr>
          <w:vertAlign w:val="baseline"/>
        </w:rPr>
        <w:t xml:space="preserve"> és </w:t>
      </w:r>
      <w:r>
        <w:rPr>
          <w:vertAlign w:val="baseline"/>
        </w:rPr>
        <w:t xml:space="preserve">Foglalkoztatási Rehabilitációs Főosztálya</w:t>
      </w:r>
      <w:r>
        <w:rPr>
          <w:vertAlign w:val="baseline"/>
        </w:rPr>
        <w:t xml:space="preserve"> 2020. május 25. napján kelt </w:t>
      </w:r>
      <w:r>
        <w:rPr>
          <w:vertAlign w:val="baseline"/>
        </w:rPr>
        <w:t xml:space="preserve">válaszában</w:t>
      </w:r>
      <w:r>
        <w:rPr>
          <w:vertAlign w:val="baseline"/>
        </w:rPr>
        <w:t xml:space="preserve"> arról tájékoztatta a felperest, hogy a </w:t>
      </w:r>
      <w:r>
        <w:rPr>
          <w:vertAlign w:val="baseline"/>
        </w:rPr>
        <w:t xml:space="preserve">II.</w:t>
      </w:r>
      <w:r>
        <w:rPr>
          <w:vertAlign w:val="baseline"/>
        </w:rPr>
        <w:t xml:space="preserve"> rendű alpereshez címzett levele nem tekinthető az </w:t>
      </w:r>
      <w:r>
        <w:rPr>
          <w:vertAlign w:val="baseline"/>
        </w:rPr>
        <w:t xml:space="preserve">Mmtv.</w:t>
      </w:r>
      <w:r>
        <w:rPr>
          <w:vertAlign w:val="baseline"/>
        </w:rPr>
        <w:t xml:space="preserve"> és a megváltozott munkaképességű személyek ellátásaival kapcsolatos eljárási szabályokról szóló </w:t>
      </w:r>
      <w:r>
        <w:rPr>
          <w:vertAlign w:val="baseline"/>
        </w:rPr>
        <w:t xml:space="preserve">327/2011</w:t>
      </w:r>
      <w:r>
        <w:rPr>
          <w:vertAlign w:val="baseline"/>
        </w:rPr>
        <w:t xml:space="preserve">. (XII. 29.) </w:t>
      </w:r>
      <w:r>
        <w:rPr>
          <w:vertAlign w:val="baseline"/>
        </w:rPr>
        <w:t xml:space="preserve">Korm.</w:t>
      </w:r>
      <w:r>
        <w:rPr>
          <w:vertAlign w:val="baseline"/>
        </w:rPr>
        <w:t xml:space="preserve"> rendelet (Mmr.) szerinti kérelemnek, </w:t>
      </w:r>
      <w:r>
        <w:rPr>
          <w:vertAlign w:val="baseline"/>
        </w:rPr>
        <w:t xml:space="preserve">mert azt</w:t>
      </w:r>
      <w:r>
        <w:rPr>
          <w:vertAlign w:val="baseline"/>
        </w:rPr>
        <w:t xml:space="preserve"> nem az erre rendszeresített formanyomtatványon terjesztette elő és nem tekinthető állapotváltozás bejelentésének sem, ezért a hatóságnak a felperes felülvizsgálatára nem volt eljárási kötelezettsége. Utalt arra, hogy az </w:t>
      </w:r>
      <w:r>
        <w:rPr>
          <w:vertAlign w:val="baseline"/>
        </w:rPr>
        <w:t xml:space="preserve">Mmtv.</w:t>
      </w:r>
      <w:r>
        <w:rPr>
          <w:vertAlign w:val="baseline"/>
        </w:rPr>
        <w:t xml:space="preserve"> 19/A. § (1) bekezdése nem alkalmazható a felperes esetében, mert a rehabilitációs hatóság tudomására nem jutott olyan tény vagy adat, amely alapján indokolt lett volna döntésének felülvizsgálata, ezért szabályszerűen járt el a </w:t>
      </w:r>
      <w:r>
        <w:rPr>
          <w:vertAlign w:val="baseline"/>
        </w:rPr>
        <w:t xml:space="preserve">II.</w:t>
      </w:r>
      <w:r>
        <w:rPr>
          <w:vertAlign w:val="baseline"/>
        </w:rPr>
        <w:t xml:space="preserve">r. alperes (Ákr. 121. §-a).</w:t>
      </w:r>
    </w:p>
    <w:p>
      <w:pPr>
        <w:jc w:val="left"/>
      </w:pPr>
      <w:r>
        <w:rPr>
          <w:vertAlign w:val="baseline"/>
        </w:rPr>
        <w:t xml:space="preserve"> </w:t>
      </w:r>
    </w:p>
    <w:p>
      <w:pPr>
        <w:jc w:val="both"/>
      </w:pPr>
      <w:r>
        <w:rPr>
          <w:b/>
          <w:vertAlign w:val="baseline"/>
        </w:rPr>
        <w:t xml:space="preserve">         </w:t>
      </w:r>
      <w:r>
        <w:rPr>
          <w:b/>
          <w:vertAlign w:val="baseline"/>
        </w:rPr>
        <w:t xml:space="preserve">Kereseti</w:t>
      </w:r>
      <w:r>
        <w:rPr>
          <w:b/>
          <w:vertAlign w:val="baseline"/>
        </w:rPr>
        <w:t xml:space="preserve"> kérelem és védirat</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 felperes az I. rendű alperessel szemben előterjesztett keresetében az </w:t>
      </w:r>
      <w:r>
        <w:rPr>
          <w:vertAlign w:val="baseline"/>
        </w:rPr>
        <w:t xml:space="preserve">Ákr.</w:t>
      </w:r>
      <w:r>
        <w:rPr>
          <w:vertAlign w:val="baseline"/>
        </w:rPr>
        <w:t xml:space="preserve"> 15.§, 38.§, 50. § (2) és (4) bekezdése, valamint az </w:t>
      </w:r>
      <w:r>
        <w:rPr>
          <w:vertAlign w:val="baseline"/>
        </w:rPr>
        <w:t xml:space="preserve">Mmtv.</w:t>
      </w:r>
      <w:r>
        <w:rPr>
          <w:vertAlign w:val="baseline"/>
        </w:rPr>
        <w:t xml:space="preserve"> 14. § (1a) bekezdése megsértését állította és a </w:t>
      </w:r>
      <w:r>
        <w:rPr>
          <w:vertAlign w:val="baseline"/>
        </w:rPr>
        <w:t xml:space="preserve">Kp.</w:t>
      </w:r>
      <w:r>
        <w:rPr>
          <w:vertAlign w:val="baseline"/>
        </w:rPr>
        <w:t xml:space="preserve"> 129. § (1) és (3) bekezdése alapján kérte annak megállapítását, hogy a rehabilitációs hatóság a közigazgatási cselekmény meghozatalára vonatkozó jogszabályban meghatározott kötelezettségét elmulasztotta. Kérte az I.r. alperes elmulasztott cselekményének </w:t>
      </w:r>
      <w:r>
        <w:rPr>
          <w:vertAlign w:val="baseline"/>
        </w:rPr>
        <w:t xml:space="preserve">a jogszabályi határidőn belül való meghozatalára kötelezését</w:t>
      </w:r>
      <w:r>
        <w:rPr>
          <w:vertAlign w:val="baseline"/>
        </w:rPr>
        <w:t xml:space="preserve">. Az </w:t>
      </w:r>
      <w:r>
        <w:rPr>
          <w:vertAlign w:val="baseline"/>
        </w:rPr>
        <w:t xml:space="preserve">Ákr.</w:t>
      </w:r>
      <w:r>
        <w:rPr>
          <w:vertAlign w:val="baseline"/>
        </w:rPr>
        <w:t xml:space="preserve"> 50. § (2) bekezdés c) pontjában foglaltak megsértése kapcsán arra hivatkozott, hogy a hatóság az </w:t>
      </w:r>
      <w:r>
        <w:rPr>
          <w:vertAlign w:val="baseline"/>
        </w:rPr>
        <w:t xml:space="preserve">Ákr.</w:t>
      </w:r>
      <w:r>
        <w:rPr>
          <w:vertAlign w:val="baseline"/>
        </w:rPr>
        <w:t xml:space="preserve">-ben meghatározott határidőben nem hozott döntést, a határozatnak nem tekinthető tájékoztató levélben semmilyen olyan indokot nem adott elő, amelyből következtetni lehet a döntés elmaradásának okára.</w:t>
      </w:r>
    </w:p>
    <w:p>
      <w:pPr>
        <w:jc w:val="left"/>
      </w:pPr>
      <w:r>
        <w:rPr>
          <w:vertAlign w:val="baseline"/>
        </w:rPr>
        <w:t xml:space="preserve">  </w:t>
      </w:r>
      <w:r>
        <w:rPr>
          <w:vertAlign w:val="baseline"/>
        </w:rPr>
        <w:t xml:space="preserve">[10]</w:t>
      </w:r>
      <w:r>
        <w:rPr>
          <w:vertAlign w:val="baseline"/>
        </w:rPr>
        <w:t xml:space="preserve">     </w:t>
      </w:r>
      <w:r>
        <w:rPr>
          <w:vertAlign w:val="baseline"/>
        </w:rPr>
        <w:t xml:space="preserve">A felperes keresetében kiemelte, hogy az </w:t>
      </w:r>
      <w:r>
        <w:rPr>
          <w:vertAlign w:val="baseline"/>
        </w:rPr>
        <w:t xml:space="preserve">Mmtv.</w:t>
      </w:r>
      <w:r>
        <w:rPr>
          <w:vertAlign w:val="baseline"/>
        </w:rPr>
        <w:t xml:space="preserve"> 14. § (1a) bekezdése alapján előterjesztett újabb kérelmét a rehabilitációs hatóságnak felülvizsgálat iránti kérelemnek kellett volna tekintenie. Hangsúlyozta, hogy a beadványa kérelemnek minősül, ugyanis az tartalmazza, hogy az </w:t>
      </w:r>
      <w:r>
        <w:rPr>
          <w:vertAlign w:val="baseline"/>
        </w:rPr>
        <w:t xml:space="preserve">Mmtv.</w:t>
      </w:r>
      <w:r>
        <w:rPr>
          <w:vertAlign w:val="baseline"/>
        </w:rPr>
        <w:t xml:space="preserve"> mely rendelkezései alapján, milyen eljárás lefolytatását és döntés meghozatalát kéri a jogalap és a tények részletes előadásával, továbbá a bizonyítékok csatolásával együtt. Amennyiben kérelme formai vagy tartalmi hiányosságokban szenvedett, úgy abban az esetben visszautasításnak lett volna helye, tehát a hatóságnak ebben az esetben is alakszerű döntést kellett volna hoznia. Kifogásolta, hogy a </w:t>
      </w:r>
      <w:r>
        <w:rPr>
          <w:vertAlign w:val="baseline"/>
        </w:rPr>
        <w:t xml:space="preserve">II.</w:t>
      </w:r>
      <w:r>
        <w:rPr>
          <w:vertAlign w:val="baseline"/>
        </w:rPr>
        <w:t xml:space="preserve"> rendű alperes hiánypótlásra sem hívta fel.  </w:t>
      </w:r>
    </w:p>
    <w:p>
      <w:pPr>
        <w:jc w:val="both"/>
      </w:pPr>
      <w:r>
        <w:rPr>
          <w:vertAlign w:val="baseline"/>
        </w:rPr>
        <w:t xml:space="preserve">[11]</w:t>
      </w:r>
      <w:r>
        <w:rPr>
          <w:vertAlign w:val="baseline"/>
        </w:rPr>
        <w:t xml:space="preserve">     </w:t>
      </w:r>
      <w:r>
        <w:rPr>
          <w:vertAlign w:val="baseline"/>
        </w:rPr>
        <w:t xml:space="preserve">A felperes érvelése szerint téves a rehabilitációs hatóság álláspontja, mely szerint az ügyfél kérelme alapján mérlegelhető, hogy eljárást indít-e, mivel ha a hatóság a beérkezett kérelem alapján eljárást nem indít és alakszerű döntést sem hoz, akkor nem állapítható meg az ügyfél számára, hogy a hatóság megvizsgálta-e a kérelmét és amennyiben azt elutasítja, úgy azt milyen indokolás alapján tette. A hatóság érdemi vizsgálata nélkül a megelőző eljárásokra történő hivatkozása pusztán feltevés, ugyanis érdemi döntéshozatal nélkül elzárta a felperest a jogorvoslat jogától. A felperes szerint a jogállamiság és a jogbiztonság követelményéből eredően a hatóság számára kötelezettség hibás döntésének korrigálása, amennyiben annak feltételei fennállnak.</w:t>
      </w:r>
    </w:p>
    <w:p>
      <w:pPr>
        <w:jc w:val="left"/>
      </w:pPr>
      <w:r>
        <w:rPr>
          <w:vertAlign w:val="baseline"/>
        </w:rPr>
        <w:t xml:space="preserve">  </w:t>
      </w:r>
      <w:r>
        <w:rPr>
          <w:vertAlign w:val="baseline"/>
        </w:rPr>
        <w:t xml:space="preserve">[12]</w:t>
      </w:r>
      <w:r>
        <w:rPr>
          <w:vertAlign w:val="baseline"/>
        </w:rPr>
        <w:t xml:space="preserve">     </w:t>
      </w:r>
      <w:r>
        <w:rPr>
          <w:vertAlign w:val="baseline"/>
        </w:rPr>
        <w:t xml:space="preserve">Az I. rendű alperes védiratában a kereset elutasítását kérte.</w:t>
      </w:r>
      <w:r>
        <w:rPr>
          <w:vertAlign w:val="baseline"/>
        </w:rPr>
        <w:t xml:space="preserve"> Érvelése szerint az </w:t>
      </w:r>
      <w:r>
        <w:rPr>
          <w:vertAlign w:val="baseline"/>
        </w:rPr>
        <w:t xml:space="preserve">Mmtv.</w:t>
      </w:r>
      <w:r>
        <w:rPr>
          <w:vertAlign w:val="baseline"/>
        </w:rPr>
        <w:t xml:space="preserve"> 19/A. § (1) bekezdése nem eljárási kötelezettséget ír elő, hanem lehetőséget nyújt a hatóság részére, hogy indokolt esetben 5 éven belül magasabb összegű ellátást állapíthasson meg. Az alperes jogelődje a felperes kérelmére adott válaszlevelében is kifejtette, hogy magasabb összegű ellátás megállapítását nem tartotta indokoltnak, ezért az üggyel kapcsolatban további kötelezettségei nem voltak. Az </w:t>
      </w:r>
      <w:r>
        <w:rPr>
          <w:vertAlign w:val="baseline"/>
        </w:rPr>
        <w:t xml:space="preserve">Mmtv.</w:t>
      </w:r>
      <w:r>
        <w:rPr>
          <w:vertAlign w:val="baseline"/>
        </w:rPr>
        <w:t xml:space="preserve"> 19/A. §-a nem újabb jogorvoslati fórum, hanem az eljáró szerv részére </w:t>
      </w:r>
      <w:r>
        <w:rPr>
          <w:vertAlign w:val="baseline"/>
        </w:rPr>
        <w:t xml:space="preserve">biztosít </w:t>
      </w:r>
      <w:r>
        <w:rPr>
          <w:vertAlign w:val="baseline"/>
        </w:rPr>
        <w:t xml:space="preserve">egyoldalú lehetőséget a döntésének korrigálására. A kérelmezett hatóságot nem terhelte jogszabály által előírt feladatellátási kötelezettség.  </w:t>
      </w:r>
    </w:p>
    <w:p>
      <w:pPr>
        <w:jc w:val="both"/>
      </w:pPr>
      <w:r>
        <w:rPr>
          <w:vertAlign w:val="baseline"/>
        </w:rPr>
        <w:t xml:space="preserve">[13]</w:t>
      </w:r>
      <w:r>
        <w:rPr>
          <w:vertAlign w:val="baseline"/>
        </w:rPr>
        <w:t xml:space="preserve">     </w:t>
      </w:r>
      <w:r>
        <w:rPr>
          <w:vertAlign w:val="baseline"/>
        </w:rPr>
        <w:t xml:space="preserve">A </w:t>
      </w:r>
      <w:r>
        <w:rPr>
          <w:vertAlign w:val="baseline"/>
        </w:rPr>
        <w:t xml:space="preserve">Kp.</w:t>
      </w:r>
      <w:r>
        <w:rPr>
          <w:vertAlign w:val="baseline"/>
        </w:rPr>
        <w:t xml:space="preserve"> 127. §-a akkor teremt lehetőséget a </w:t>
      </w:r>
      <w:r>
        <w:rPr>
          <w:vertAlign w:val="baseline"/>
        </w:rPr>
        <w:t xml:space="preserve">Kp.</w:t>
      </w:r>
      <w:r>
        <w:rPr>
          <w:vertAlign w:val="baseline"/>
        </w:rPr>
        <w:t xml:space="preserve"> XXII. fejezete szerinti eljárásra, ha a jogszabály feladatellátási kötelezettséget ír elő. </w:t>
      </w:r>
      <w:r>
        <w:rPr>
          <w:vertAlign w:val="baseline"/>
        </w:rPr>
        <w:t xml:space="preserve">H</w:t>
      </w:r>
      <w:r>
        <w:rPr>
          <w:vertAlign w:val="baseline"/>
        </w:rPr>
        <w:t xml:space="preserve">a a jogszabály a hatóság mérlegelési körébe utalja, hogy ellátja-e az adott feladatot, elvégzi-e a közigazgatási cselekményt, akkor a cselekmények elmulasztása miatt nem indulhat per.</w:t>
      </w:r>
    </w:p>
    <w:p>
      <w:pPr>
        <w:jc w:val="left"/>
      </w:pPr>
      <w:r>
        <w:rPr>
          <w:vertAlign w:val="baseline"/>
        </w:rPr>
        <w:t xml:space="preserve"> </w:t>
      </w:r>
    </w:p>
    <w:p>
      <w:pPr>
        <w:jc w:val="both"/>
      </w:pPr>
      <w:r>
        <w:rPr>
          <w:b/>
          <w:vertAlign w:val="baseline"/>
        </w:rPr>
        <w:t xml:space="preserve">         </w:t>
      </w:r>
      <w:r>
        <w:rPr>
          <w:b/>
          <w:vertAlign w:val="baseline"/>
        </w:rPr>
        <w:t xml:space="preserve">Az elsőfokú ítélet</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Az elsőfokú bíróság ítéletében a </w:t>
      </w:r>
      <w:r>
        <w:rPr>
          <w:vertAlign w:val="baseline"/>
        </w:rPr>
        <w:t xml:space="preserve">Kp.</w:t>
      </w:r>
      <w:r>
        <w:rPr>
          <w:vertAlign w:val="baseline"/>
        </w:rPr>
        <w:t xml:space="preserve"> 129. § (1) bekezdése alapján megállapította a </w:t>
      </w:r>
      <w:r>
        <w:rPr>
          <w:vertAlign w:val="baseline"/>
        </w:rPr>
        <w:t xml:space="preserve">II.</w:t>
      </w:r>
      <w:r>
        <w:rPr>
          <w:vertAlign w:val="baseline"/>
        </w:rPr>
        <w:t xml:space="preserve"> rendű alperes mulasztását, mert a közigazgatási cselekmény megvalósítására vonatkozó jogszabályban meghatározott kötelezettségének nem tett eleget.</w:t>
      </w:r>
    </w:p>
    <w:p>
      <w:pPr>
        <w:jc w:val="left"/>
      </w:pPr>
      <w:r>
        <w:rPr>
          <w:vertAlign w:val="baseline"/>
        </w:rPr>
        <w:t xml:space="preserve">  </w:t>
      </w:r>
      <w:r>
        <w:rPr>
          <w:vertAlign w:val="baseline"/>
        </w:rPr>
        <w:t xml:space="preserve">[15]</w:t>
      </w:r>
      <w:r>
        <w:rPr>
          <w:vertAlign w:val="baseline"/>
        </w:rPr>
        <w:t xml:space="preserve">     </w:t>
      </w:r>
      <w:r>
        <w:rPr>
          <w:vertAlign w:val="baseline"/>
        </w:rPr>
        <w:t xml:space="preserve">Az elsőfokú bíróság </w:t>
      </w:r>
      <w:r>
        <w:rPr>
          <w:vertAlign w:val="baseline"/>
        </w:rPr>
        <w:t xml:space="preserve">kifejtette, hogy nem vitatottan a felperes b</w:t>
      </w:r>
      <w:r>
        <w:rPr>
          <w:vertAlign w:val="baseline"/>
        </w:rPr>
        <w:t xml:space="preserve">eadványa tekintetében a rehabilitációs hatósági jogkör gyakorlására hatáskörrel rendelkező </w:t>
      </w:r>
      <w:r>
        <w:rPr>
          <w:vertAlign w:val="baseline"/>
        </w:rPr>
        <w:t xml:space="preserve">II.</w:t>
      </w:r>
      <w:r>
        <w:rPr>
          <w:vertAlign w:val="baseline"/>
        </w:rPr>
        <w:t xml:space="preserve"> rendű alperes alakszerű döntést nem hozott. Az ügyben eldöntendő </w:t>
      </w:r>
      <w:r>
        <w:rPr>
          <w:vertAlign w:val="baseline"/>
        </w:rPr>
        <w:t xml:space="preserve">jogkérdést az jelentette, hogy a hatóságnak volt-e a döntés meghozatalára jogszabályból fakadó kötelezettsége.</w:t>
      </w:r>
      <w:r>
        <w:rPr>
          <w:vertAlign w:val="baseline"/>
        </w:rPr>
        <w:t xml:space="preserve">  </w:t>
      </w:r>
    </w:p>
    <w:p>
      <w:pPr>
        <w:jc w:val="both"/>
      </w:pPr>
      <w:r>
        <w:rPr>
          <w:vertAlign w:val="baseline"/>
        </w:rPr>
        <w:t xml:space="preserve">[16]</w:t>
      </w:r>
      <w:r>
        <w:rPr>
          <w:vertAlign w:val="baseline"/>
        </w:rPr>
        <w:t xml:space="preserve">     </w:t>
      </w:r>
      <w:r>
        <w:rPr>
          <w:vertAlign w:val="baseline"/>
        </w:rPr>
        <w:t xml:space="preserve">Az elsőfokú bíróság az </w:t>
      </w:r>
      <w:r>
        <w:rPr>
          <w:vertAlign w:val="baseline"/>
        </w:rPr>
        <w:t xml:space="preserve">Ákr.</w:t>
      </w:r>
      <w:r>
        <w:rPr>
          <w:vertAlign w:val="baseline"/>
        </w:rPr>
        <w:t xml:space="preserve"> 15. § (1) és (2) bekezdésére, 35. § (1) bekezdésére hivatkozással kiemelte, hogy a kérelemnek nevezhető beadvány előterjesztésével a hatóságnak eljárási kötelezettsége keletkezett, amely azonban nem szükségszerűen vezet érdemi döntésre. Az ügyfél kérelmének visszautasítására kerülhet sor abban az esetben, amennyiben az eljárás megindításának jogszabályban meghatározott feltétele hiányzik vagy úgy, ahogy az adott esetben – a formakényszer megsértése miatt. Ilyen esetben is a hatóságnak indokolt, alakszerű döntésben kell a kérelem felől határoznia, és a visszautasító döntéssel szemben az ügyfél jogorvoslattal élhet. Mindezek alapján – a </w:t>
      </w:r>
      <w:r>
        <w:rPr>
          <w:vertAlign w:val="baseline"/>
        </w:rPr>
        <w:t xml:space="preserve">Kp.</w:t>
      </w:r>
      <w:r>
        <w:rPr>
          <w:vertAlign w:val="baseline"/>
        </w:rPr>
        <w:t xml:space="preserve"> 129. § (3) bekezdésére figyelemmel – az I. rendű alperes köteles az elmulasztott cselekményt az irányadó jogszabályi határidőn belül, ennek hiányában 30 napon belül megvalósítani.</w:t>
      </w:r>
    </w:p>
    <w:p>
      <w:pPr>
        <w:jc w:val="left"/>
      </w:pPr>
      <w:r>
        <w:rPr>
          <w:vertAlign w:val="baseline"/>
        </w:rPr>
        <w:t xml:space="preserve"> </w:t>
      </w:r>
    </w:p>
    <w:p>
      <w:pPr>
        <w:jc w:val="both"/>
      </w:pPr>
      <w:r>
        <w:rPr>
          <w:b/>
          <w:vertAlign w:val="baseline"/>
        </w:rPr>
        <w:t xml:space="preserve">         </w:t>
      </w:r>
      <w:r>
        <w:rPr>
          <w:b/>
          <w:vertAlign w:val="baseline"/>
        </w:rPr>
        <w:t xml:space="preserve">A fellebbezés és a fellebbezési ellenkérelem</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Az I. és a </w:t>
      </w:r>
      <w:r>
        <w:rPr>
          <w:vertAlign w:val="baseline"/>
        </w:rPr>
        <w:t xml:space="preserve">II.</w:t>
      </w:r>
      <w:r>
        <w:rPr>
          <w:vertAlign w:val="baseline"/>
        </w:rPr>
        <w:t xml:space="preserve"> rendű alperes fellebbezésükben kérték az elsőfokú ítélet megváltoztatását és a kereset elutasítását az </w:t>
      </w:r>
      <w:r>
        <w:rPr>
          <w:vertAlign w:val="baseline"/>
        </w:rPr>
        <w:t xml:space="preserve">Mmtv.</w:t>
      </w:r>
      <w:r>
        <w:rPr>
          <w:vertAlign w:val="baseline"/>
        </w:rPr>
        <w:t xml:space="preserve"> 19/A. § (1) bekezdése és a </w:t>
      </w:r>
      <w:r>
        <w:rPr>
          <w:vertAlign w:val="baseline"/>
        </w:rPr>
        <w:t xml:space="preserve">Kp.</w:t>
      </w:r>
      <w:r>
        <w:rPr>
          <w:vertAlign w:val="baseline"/>
        </w:rPr>
        <w:t xml:space="preserve"> 129. § (1) bekezdése megsértése miatt. Érvelésük szerint az </w:t>
      </w:r>
      <w:r>
        <w:rPr>
          <w:vertAlign w:val="baseline"/>
        </w:rPr>
        <w:t xml:space="preserve">Ákr.</w:t>
      </w:r>
      <w:r>
        <w:rPr>
          <w:vertAlign w:val="baseline"/>
        </w:rPr>
        <w:t xml:space="preserve"> 35. § (1) bekezdése a kérelemre induló eljárások esetén alkalmazandó, a felperes a </w:t>
      </w:r>
      <w:r>
        <w:rPr>
          <w:vertAlign w:val="baseline"/>
        </w:rPr>
        <w:t xml:space="preserve">II.</w:t>
      </w:r>
      <w:r>
        <w:rPr>
          <w:vertAlign w:val="baseline"/>
        </w:rPr>
        <w:t xml:space="preserve"> rendű alpereshez intézett beadványát az </w:t>
      </w:r>
      <w:r>
        <w:rPr>
          <w:vertAlign w:val="baseline"/>
        </w:rPr>
        <w:t xml:space="preserve">Mmtv.</w:t>
      </w:r>
      <w:r>
        <w:rPr>
          <w:vertAlign w:val="baseline"/>
        </w:rPr>
        <w:t xml:space="preserve"> 19/A. § (1) bekezdésére alapozta, azaz a felperes olyan adatokat, tényeket hozott a </w:t>
      </w:r>
      <w:r>
        <w:rPr>
          <w:vertAlign w:val="baseline"/>
        </w:rPr>
        <w:t xml:space="preserve">II.</w:t>
      </w:r>
      <w:r>
        <w:rPr>
          <w:vertAlign w:val="baseline"/>
        </w:rPr>
        <w:t xml:space="preserve"> rendű alperes tudomására, amelytől az eljárás lefolytatása esetén ellátásának magasabb összegben történő megállapítását remélte. A felperes a beadványában nem az </w:t>
      </w:r>
      <w:r>
        <w:rPr>
          <w:vertAlign w:val="baseline"/>
        </w:rPr>
        <w:t xml:space="preserve">Ákr.</w:t>
      </w:r>
      <w:r>
        <w:rPr>
          <w:vertAlign w:val="baseline"/>
        </w:rPr>
        <w:t xml:space="preserve"> 35. § (1) bekezdése szerinti kérelemmel élt, hanem ellátásának az </w:t>
      </w:r>
      <w:r>
        <w:rPr>
          <w:vertAlign w:val="baseline"/>
        </w:rPr>
        <w:t xml:space="preserve">Mmtv.</w:t>
      </w:r>
      <w:r>
        <w:rPr>
          <w:vertAlign w:val="baseline"/>
        </w:rPr>
        <w:t xml:space="preserve"> 19/A. § (5) bekezdése alapján történő újbóli megállapítását kérte. A </w:t>
      </w:r>
      <w:r>
        <w:rPr>
          <w:vertAlign w:val="baseline"/>
        </w:rPr>
        <w:t xml:space="preserve">II.</w:t>
      </w:r>
      <w:r>
        <w:rPr>
          <w:vertAlign w:val="baseline"/>
        </w:rPr>
        <w:t xml:space="preserve"> rendű alperest nem terhelte jogszabályban előírt feladatellátási kötelezettség, mivel az </w:t>
      </w:r>
      <w:r>
        <w:rPr>
          <w:vertAlign w:val="baseline"/>
        </w:rPr>
        <w:t xml:space="preserve">Mmtv.</w:t>
      </w:r>
      <w:r>
        <w:rPr>
          <w:vertAlign w:val="baseline"/>
        </w:rPr>
        <w:t xml:space="preserve"> 19/A. §-ában meghatározott eljárás hivatalból induló eljárásnak minősül, amely esetben a hatóság dönt annak megindításáról.</w:t>
      </w:r>
    </w:p>
    <w:p>
      <w:pPr>
        <w:jc w:val="left"/>
      </w:pPr>
      <w:r>
        <w:rPr>
          <w:vertAlign w:val="baseline"/>
        </w:rPr>
        <w:t xml:space="preserve">  </w:t>
      </w:r>
      <w:r>
        <w:rPr>
          <w:vertAlign w:val="baseline"/>
        </w:rPr>
        <w:t xml:space="preserve">[18]</w:t>
      </w:r>
      <w:r>
        <w:rPr>
          <w:vertAlign w:val="baseline"/>
        </w:rPr>
        <w:t xml:space="preserve">     </w:t>
      </w:r>
      <w:r>
        <w:rPr>
          <w:vertAlign w:val="baseline"/>
        </w:rPr>
        <w:t xml:space="preserve">A felperes fellebbezési ellenkérelmében az elsőfokú ítélet helybenhagyását kérte az elsőfokú eljárásban tett nyilatkozatainak változatlan fenntartása mellett. Kiemelte, hogy az alperesek az </w:t>
      </w:r>
      <w:r>
        <w:rPr>
          <w:vertAlign w:val="baseline"/>
        </w:rPr>
        <w:t xml:space="preserve">Ákr.</w:t>
      </w:r>
      <w:r>
        <w:rPr>
          <w:vertAlign w:val="baseline"/>
        </w:rPr>
        <w:t xml:space="preserve"> 35. § (1) bekezdésére hivatkozása téves, figyelmen kívül hagyták az </w:t>
      </w:r>
      <w:r>
        <w:rPr>
          <w:vertAlign w:val="baseline"/>
        </w:rPr>
        <w:t xml:space="preserve">Mmtv.</w:t>
      </w:r>
      <w:r>
        <w:rPr>
          <w:vertAlign w:val="baseline"/>
        </w:rPr>
        <w:t xml:space="preserve"> 14. § (1a) bekezdésének kötelező előírását. Utalt arra is a felperes, hogy az </w:t>
      </w:r>
      <w:r>
        <w:rPr>
          <w:vertAlign w:val="baseline"/>
        </w:rPr>
        <w:t xml:space="preserve">Ákr.</w:t>
      </w:r>
      <w:r>
        <w:rPr>
          <w:vertAlign w:val="baseline"/>
        </w:rPr>
        <w:t xml:space="preserve"> 36. § (1) bekezdése nem sorolja fel, hogy milyen adatoknak kell szerepelnie a kérelemben.  </w:t>
      </w:r>
    </w:p>
    <w:p>
      <w:pPr>
        <w:jc w:val="both"/>
      </w:pPr>
      <w:r>
        <w:rPr>
          <w:vertAlign w:val="baseline"/>
        </w:rPr>
        <w:t xml:space="preserve">[19]</w:t>
      </w:r>
      <w:r>
        <w:rPr>
          <w:vertAlign w:val="baseline"/>
        </w:rPr>
        <w:t xml:space="preserve">     </w:t>
      </w:r>
      <w:r>
        <w:rPr>
          <w:vertAlign w:val="baseline"/>
        </w:rPr>
        <w:t xml:space="preserve">A felperes álláspontja szerint az elsőfokú bíróság helyesen állapította meg, hogy a rehabilitációs hatósághoz címzett beadványa kérelemnek tekintendő, ezért függetlenül attól, hogy az alapos vagy érdemi döntéshez vezet-e, abban alakszerű döntést kell hoznia a hatóságnak. Ha a kérelem akár már az eljárás kezdetén alkalmatlan az eljárás lefolytatására, vagy később válik azzá, az eljárás abban az esetben is a kérelem visszautasításával vagy eljárás megszüntetésével ér véget alakszerű végzéssel. Az </w:t>
      </w:r>
      <w:r>
        <w:rPr>
          <w:vertAlign w:val="baseline"/>
        </w:rPr>
        <w:t xml:space="preserve">Ákr.</w:t>
      </w:r>
      <w:r>
        <w:rPr>
          <w:vertAlign w:val="baseline"/>
        </w:rPr>
        <w:t xml:space="preserve"> 46. § (2) bekezdése alapján a hatóság a kérelmet visszautasíthatja, ha azt nem az előírt formában terjesztették elő. Ebben az esetben a kérelmező a kérelmet a jogszabályban meghatározott időn belül az előírt formában ismételten előterjesztheti. A hatóságnak az előterjesztett kérelem esetén nincsen lehetősége arra, hogy ne hozzon érdemi, vagy legalább a kérelmet visszautasító döntést, ha azt nem az előírt formanyomtatványon terjesztik elő.</w:t>
      </w:r>
    </w:p>
    <w:p>
      <w:pPr>
        <w:jc w:val="left"/>
      </w:pPr>
      <w:r>
        <w:rPr>
          <w:vertAlign w:val="baseline"/>
        </w:rPr>
        <w:t xml:space="preserve">[20]</w:t>
      </w:r>
      <w:r>
        <w:rPr>
          <w:vertAlign w:val="baseline"/>
        </w:rPr>
        <w:t xml:space="preserve">     </w:t>
      </w:r>
      <w:r>
        <w:rPr>
          <w:vertAlign w:val="baseline"/>
        </w:rPr>
        <w:t xml:space="preserve">A felperes hivatkozott arra is, hogy az alperesek fellebbezése nem felel meg a </w:t>
      </w:r>
      <w:r>
        <w:rPr>
          <w:vertAlign w:val="baseline"/>
        </w:rPr>
        <w:t xml:space="preserve">Kp.</w:t>
      </w:r>
      <w:r>
        <w:rPr>
          <w:vertAlign w:val="baseline"/>
        </w:rPr>
        <w:t xml:space="preserve"> 99. § (1) bekezdésében támasztott követelményeknek.</w:t>
      </w:r>
    </w:p>
    <w:p>
      <w:pPr>
        <w:jc w:val="left"/>
      </w:pPr>
      <w:r>
        <w:rPr>
          <w:vertAlign w:val="baseline"/>
        </w:rPr>
        <w:t xml:space="preserve"> </w:t>
      </w:r>
    </w:p>
    <w:p>
      <w:pPr>
        <w:jc w:val="both"/>
      </w:pPr>
      <w:r>
        <w:rPr>
          <w:b/>
          <w:vertAlign w:val="baseline"/>
        </w:rPr>
        <w:t xml:space="preserve">         </w:t>
      </w: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A fellebbezés nem alapos az alábbiak szerint.</w:t>
      </w:r>
    </w:p>
    <w:p>
      <w:pPr>
        <w:jc w:val="left"/>
      </w:pPr>
      <w:r>
        <w:rPr>
          <w:vertAlign w:val="baseline"/>
        </w:rPr>
        <w:t xml:space="preserve">  </w:t>
      </w:r>
      <w:r>
        <w:rPr>
          <w:vertAlign w:val="baseline"/>
        </w:rPr>
        <w:t xml:space="preserve">[22]</w:t>
      </w:r>
      <w:r>
        <w:rPr>
          <w:vertAlign w:val="baseline"/>
        </w:rPr>
        <w:t xml:space="preserve">     </w:t>
      </w:r>
      <w:r>
        <w:rPr>
          <w:vertAlign w:val="baseline"/>
        </w:rPr>
        <w:t xml:space="preserve">A </w:t>
      </w:r>
      <w:r>
        <w:rPr>
          <w:vertAlign w:val="baseline"/>
        </w:rPr>
        <w:t xml:space="preserve">Kúria</w:t>
      </w:r>
      <w:r>
        <w:rPr>
          <w:vertAlign w:val="baseline"/>
        </w:rPr>
        <w:t xml:space="preserve"> az elsőfokú ítéletet a </w:t>
      </w:r>
      <w:r>
        <w:rPr>
          <w:vertAlign w:val="baseline"/>
        </w:rPr>
        <w:t xml:space="preserve">Kp.</w:t>
      </w:r>
      <w:r>
        <w:rPr>
          <w:vertAlign w:val="baseline"/>
        </w:rPr>
        <w:t xml:space="preserve"> 108. § (1) bekezdése alapján a fellebbezés és a fellebbezési ellenkérelem keretei között vizsgálta felül.  </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az alperesek fellebbezése megfelelt a </w:t>
      </w:r>
      <w:r>
        <w:rPr>
          <w:vertAlign w:val="baseline"/>
        </w:rPr>
        <w:t xml:space="preserve">Kp.</w:t>
      </w:r>
      <w:r>
        <w:rPr>
          <w:vertAlign w:val="baseline"/>
        </w:rPr>
        <w:t xml:space="preserve"> 100. § (2) bekezdésében írt követelményeknek, mivel az a jogszabálysértést is megjelölte, utalt az </w:t>
      </w:r>
      <w:r>
        <w:rPr>
          <w:vertAlign w:val="baseline"/>
        </w:rPr>
        <w:t xml:space="preserve">Ákr.</w:t>
      </w:r>
      <w:r>
        <w:rPr>
          <w:vertAlign w:val="baseline"/>
        </w:rPr>
        <w:t xml:space="preserve"> 35. § (1) bekezdése téves értelmezésére.</w:t>
      </w:r>
    </w:p>
    <w:p>
      <w:pPr>
        <w:jc w:val="left"/>
      </w:pPr>
      <w:r>
        <w:rPr>
          <w:vertAlign w:val="baseline"/>
        </w:rPr>
        <w:t xml:space="preserve">  </w:t>
      </w:r>
      <w:r>
        <w:rPr>
          <w:vertAlign w:val="baseline"/>
        </w:rPr>
        <w:t xml:space="preserve">[24]</w:t>
      </w:r>
      <w:r>
        <w:rPr>
          <w:vertAlign w:val="baseline"/>
        </w:rPr>
        <w:t xml:space="preserve">     </w:t>
      </w:r>
      <w:r>
        <w:rPr>
          <w:vertAlign w:val="baseline"/>
        </w:rPr>
        <w:t xml:space="preserve">Az elsőfokú bíróság helytállóan állapította meg, hogy az </w:t>
      </w:r>
      <w:r>
        <w:rPr>
          <w:vertAlign w:val="baseline"/>
        </w:rPr>
        <w:t xml:space="preserve">Ákr.</w:t>
      </w:r>
      <w:r>
        <w:rPr>
          <w:vertAlign w:val="baseline"/>
        </w:rPr>
        <w:t xml:space="preserve"> 35. § (1) bekezdése szerinti kérelemnek minősül a felperes 2019. december 13. napján </w:t>
      </w:r>
      <w:r>
        <w:rPr>
          <w:vertAlign w:val="baseline"/>
        </w:rPr>
        <w:t xml:space="preserve">II.</w:t>
      </w:r>
      <w:r>
        <w:rPr>
          <w:vertAlign w:val="baseline"/>
        </w:rPr>
        <w:t xml:space="preserve"> rendű alpereshez intézett beadványa amelyet a rehabilitációs jogkör gyakorlására hatáskörrel rendelkező </w:t>
      </w:r>
      <w:r>
        <w:rPr>
          <w:vertAlign w:val="baseline"/>
        </w:rPr>
        <w:t xml:space="preserve">II.</w:t>
      </w:r>
      <w:r>
        <w:rPr>
          <w:vertAlign w:val="baseline"/>
        </w:rPr>
        <w:t xml:space="preserve"> rendű alperes alakszerű döntéssel – téves jogi álláspontja miatt – nem bírálta el. A jogvita lényegét jelentő jogkérdést – annak megítélését, hogy az alperesi hatóságnak volt-e döntés hozatalára jogszabályból fakadó kötelezettsége – az elsőfokú bíróság helyesen határozta meg. A közigazgatási hatósági eljárásban az </w:t>
      </w:r>
      <w:r>
        <w:rPr>
          <w:vertAlign w:val="baseline"/>
        </w:rPr>
        <w:t xml:space="preserve">Ákr.</w:t>
      </w:r>
      <w:r>
        <w:rPr>
          <w:vertAlign w:val="baseline"/>
        </w:rPr>
        <w:t xml:space="preserve"> 35. § (1) bekezdésének megfelelő kérelem esetén a hatóságnak eljárási kötelezettsége keletkezik.  </w:t>
      </w:r>
    </w:p>
    <w:p>
      <w:pPr>
        <w:jc w:val="both"/>
      </w:pPr>
      <w:r>
        <w:rPr>
          <w:vertAlign w:val="baseline"/>
        </w:rPr>
        <w:t xml:space="preserve">[25]</w:t>
      </w:r>
      <w:r>
        <w:rPr>
          <w:vertAlign w:val="baseline"/>
        </w:rPr>
        <w:t xml:space="preserve">     </w:t>
      </w:r>
      <w:r>
        <w:rPr>
          <w:vertAlign w:val="baseline"/>
        </w:rPr>
        <w:t xml:space="preserve">Az alperesek helyesen állapították meg, hogy az </w:t>
      </w:r>
      <w:r>
        <w:rPr>
          <w:vertAlign w:val="baseline"/>
        </w:rPr>
        <w:t xml:space="preserve">Mmtv.</w:t>
      </w:r>
      <w:r>
        <w:rPr>
          <w:vertAlign w:val="baseline"/>
        </w:rPr>
        <w:t xml:space="preserve"> 19/A. § (1) bekezdése a rehabilitációs hatóság részére biztosítja azt a lehetőséget, hogy indokolt esetben 5 éven belül magasabb összegű ellátást állapíthasson meg a megváltozott munkaképességű személy részére, azonban a felperes 2019. december 13. napján előterjesztett kérelme (beadványa) vizsgálata során a rehabilitációs hatóság az </w:t>
      </w:r>
      <w:r>
        <w:rPr>
          <w:vertAlign w:val="baseline"/>
        </w:rPr>
        <w:t xml:space="preserve">Mmtv.</w:t>
      </w:r>
      <w:r>
        <w:rPr>
          <w:vertAlign w:val="baseline"/>
        </w:rPr>
        <w:t xml:space="preserve"> 14. § (1a) bekezdését figyelmen kívül hagyta, amely jogszabályhely kimondja, hogy ha a megváltozott munkaképességű személyek ellátásban részesülő az ellátásra való jogosultságot megalapozó döntés véglegessé válását követően újabb kérelmet terjeszt elő, úgy azt felülvizsgálat iránti kérelemnek kell tekinteni. Ebből következően a felperes kérelme a hatóság számára eljárási kötelezettséget keletkeztetett. A </w:t>
      </w:r>
      <w:r>
        <w:rPr>
          <w:vertAlign w:val="baseline"/>
        </w:rPr>
        <w:t xml:space="preserve">Kúria</w:t>
      </w:r>
      <w:r>
        <w:rPr>
          <w:vertAlign w:val="baseline"/>
        </w:rPr>
        <w:t xml:space="preserve"> egyetértett az elsőfokú bíróság ítéletének [29]-[30] pontban foglalt megállapításaival, amely alapján az eljáró hatóság mulasztása a </w:t>
      </w:r>
      <w:r>
        <w:rPr>
          <w:vertAlign w:val="baseline"/>
        </w:rPr>
        <w:t xml:space="preserve">Kp.</w:t>
      </w:r>
      <w:r>
        <w:rPr>
          <w:vertAlign w:val="baseline"/>
        </w:rPr>
        <w:t xml:space="preserve"> 129. § (1) bekezdése alapján megállapítható volt.</w:t>
      </w:r>
    </w:p>
    <w:p>
      <w:pPr>
        <w:jc w:val="left"/>
      </w:pPr>
      <w:r>
        <w:rPr>
          <w:vertAlign w:val="baseline"/>
        </w:rPr>
        <w:t xml:space="preserve"> </w:t>
      </w:r>
      <w:r>
        <w:rPr>
          <w:vertAlign w:val="baseline"/>
        </w:rPr>
        <w:t xml:space="preserve">[26]</w:t>
      </w:r>
      <w:r>
        <w:rPr>
          <w:vertAlign w:val="baseline"/>
        </w:rPr>
        <w:t xml:space="preserve">     </w:t>
      </w:r>
      <w:r>
        <w:rPr>
          <w:vertAlign w:val="baseline"/>
        </w:rPr>
        <w:t xml:space="preserve">A </w:t>
      </w:r>
      <w:r>
        <w:rPr>
          <w:vertAlign w:val="baseline"/>
        </w:rPr>
        <w:t xml:space="preserve">Kúria</w:t>
      </w:r>
      <w:r>
        <w:rPr>
          <w:vertAlign w:val="baseline"/>
        </w:rPr>
        <w:t xml:space="preserve"> kiemeli, hogy függetlenül attól, hogy a rehabilitációs hatóság az </w:t>
      </w:r>
      <w:r>
        <w:rPr>
          <w:vertAlign w:val="baseline"/>
        </w:rPr>
        <w:t xml:space="preserve">Mmtv.</w:t>
      </w:r>
      <w:r>
        <w:rPr>
          <w:vertAlign w:val="baseline"/>
        </w:rPr>
        <w:t xml:space="preserve"> 19/A. § (1) bekezdése szerinti eljárás folytatására nem látott lehetőséget, az </w:t>
      </w:r>
      <w:r>
        <w:rPr>
          <w:vertAlign w:val="baseline"/>
        </w:rPr>
        <w:t xml:space="preserve">Mmtv.</w:t>
      </w:r>
      <w:r>
        <w:rPr>
          <w:vertAlign w:val="baseline"/>
        </w:rPr>
        <w:t xml:space="preserve"> 14. § (1a) bekezdés alapján eljárási kötelezettsége keletkezett, azaz a felperes megváltozott munkaképességű személyek ellátásának felülvizsgálata iránti kérelmét el kellett volna bírálnia. Ennek hiányában a mulasztása megállapítható volt.  </w:t>
      </w:r>
    </w:p>
    <w:p>
      <w:pPr>
        <w:jc w:val="both"/>
      </w:pPr>
      <w:r>
        <w:rPr>
          <w:vertAlign w:val="baseline"/>
        </w:rPr>
        <w:t xml:space="preserve">[27]</w:t>
      </w:r>
      <w:r>
        <w:rPr>
          <w:vertAlign w:val="baseline"/>
        </w:rPr>
        <w:t xml:space="preserve">     </w:t>
      </w:r>
      <w:r>
        <w:rPr>
          <w:vertAlign w:val="baseline"/>
        </w:rPr>
        <w:t xml:space="preserve">A </w:t>
      </w:r>
      <w:r>
        <w:rPr>
          <w:vertAlign w:val="baseline"/>
        </w:rPr>
        <w:t xml:space="preserve">Kúria</w:t>
      </w:r>
      <w:r>
        <w:rPr>
          <w:vertAlign w:val="baseline"/>
        </w:rPr>
        <w:t xml:space="preserve"> a fenti indokolással kiegészítve az elsőfokú bíróság ítéletét – a </w:t>
      </w:r>
      <w:r>
        <w:rPr>
          <w:vertAlign w:val="baseline"/>
        </w:rPr>
        <w:t xml:space="preserve">Kp.</w:t>
      </w:r>
      <w:r>
        <w:rPr>
          <w:vertAlign w:val="baseline"/>
        </w:rPr>
        <w:t xml:space="preserve"> 109. § (1) bekezdése alkalmazásával – helybenhagyta.</w:t>
      </w:r>
    </w:p>
    <w:p>
      <w:pPr>
        <w:jc w:val="left"/>
      </w:pPr>
      <w:r>
        <w:rPr>
          <w:vertAlign w:val="baseline"/>
        </w:rPr>
        <w:t xml:space="preserve"> </w:t>
      </w:r>
    </w:p>
    <w:p>
      <w:pPr>
        <w:jc w:val="both"/>
      </w:pPr>
      <w:r>
        <w:rPr>
          <w:b/>
          <w:vertAlign w:val="baseline"/>
        </w:rPr>
        <w:t xml:space="preserve">         </w:t>
      </w:r>
      <w:r>
        <w:rPr>
          <w:b/>
          <w:vertAlign w:val="baseline"/>
        </w:rPr>
        <w:t xml:space="preserve">Záró</w:t>
      </w:r>
      <w:r>
        <w:rPr>
          <w:b/>
          <w:vertAlign w:val="baseline"/>
        </w:rPr>
        <w:t xml:space="preserve"> rész</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 pervesztes alperesek a </w:t>
      </w:r>
      <w:r>
        <w:rPr>
          <w:vertAlign w:val="baseline"/>
        </w:rPr>
        <w:t xml:space="preserve">Kp.</w:t>
      </w:r>
      <w:r>
        <w:rPr>
          <w:vertAlign w:val="baseline"/>
        </w:rPr>
        <w:t xml:space="preserve"> 35. §-a alapján alkalmazandó </w:t>
      </w:r>
      <w:r>
        <w:rPr>
          <w:vertAlign w:val="baseline"/>
        </w:rPr>
        <w:t xml:space="preserve">Pp.</w:t>
      </w:r>
      <w:r>
        <w:rPr>
          <w:vertAlign w:val="baseline"/>
        </w:rPr>
        <w:t xml:space="preserve"> 83. § (1) bekezdése és 102. § (1) bekezdése, valamint a </w:t>
      </w:r>
      <w:r>
        <w:rPr>
          <w:vertAlign w:val="baseline"/>
        </w:rPr>
        <w:t xml:space="preserve">32/2003</w:t>
      </w:r>
      <w:r>
        <w:rPr>
          <w:vertAlign w:val="baseline"/>
        </w:rPr>
        <w:t xml:space="preserve">. (VIII.22.) </w:t>
      </w:r>
      <w:r>
        <w:rPr>
          <w:vertAlign w:val="baseline"/>
        </w:rPr>
        <w:t xml:space="preserve">IM</w:t>
      </w:r>
      <w:r>
        <w:rPr>
          <w:vertAlign w:val="baseline"/>
        </w:rPr>
        <w:t xml:space="preserve"> rendelet 3. § (5) bekezdése alapján kötelesek a felperes jogi képviselője által kifejtett munkával arányosan számított, a pernyertes felperest megillető másodfokú perköltség megfizetésére, melynek mértékét a </w:t>
      </w:r>
      <w:r>
        <w:rPr>
          <w:vertAlign w:val="baseline"/>
        </w:rPr>
        <w:t xml:space="preserve">Kúria</w:t>
      </w:r>
      <w:r>
        <w:rPr>
          <w:vertAlign w:val="baseline"/>
        </w:rPr>
        <w:t xml:space="preserve"> a költségjegyzékben feltüntetett 52.000 forinttól eltérően 20.000 forint + áfa összegben állapította meg az </w:t>
      </w:r>
      <w:r>
        <w:rPr>
          <w:vertAlign w:val="baseline"/>
        </w:rPr>
        <w:t xml:space="preserve">IM</w:t>
      </w:r>
      <w:r>
        <w:rPr>
          <w:vertAlign w:val="baseline"/>
        </w:rPr>
        <w:t xml:space="preserve"> rendelet 3. § (6) bekezdése alapján, figyelemmel a fellebbezési ellenkérelemmel felmerülő munkára.</w:t>
      </w:r>
    </w:p>
    <w:p>
      <w:pPr>
        <w:jc w:val="left"/>
      </w:pPr>
      <w:r>
        <w:rPr>
          <w:vertAlign w:val="baseline"/>
        </w:rPr>
        <w:t xml:space="preserve">  </w:t>
      </w:r>
      <w:r>
        <w:rPr>
          <w:vertAlign w:val="baseline"/>
        </w:rPr>
        <w:t xml:space="preserve">[29]</w:t>
      </w:r>
      <w:r>
        <w:rPr>
          <w:vertAlign w:val="baseline"/>
        </w:rPr>
        <w:t xml:space="preserve">     </w:t>
      </w:r>
      <w:r>
        <w:rPr>
          <w:vertAlign w:val="baseline"/>
        </w:rPr>
        <w:t xml:space="preserve">Az eljárás az </w:t>
      </w:r>
      <w:r>
        <w:rPr>
          <w:vertAlign w:val="baseline"/>
        </w:rPr>
        <w:t xml:space="preserve">Mmtv.</w:t>
      </w:r>
      <w:r>
        <w:rPr>
          <w:vertAlign w:val="baseline"/>
        </w:rPr>
        <w:t xml:space="preserve"> 14. § (2) bekezdése alapján illetékmentes, ezért a fellebbezés illetékét a magyar állam viseli.  </w:t>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Kúria</w:t>
      </w:r>
      <w:r>
        <w:rPr>
          <w:vertAlign w:val="baseline"/>
        </w:rPr>
        <w:t xml:space="preserve"> a fellebbezést a </w:t>
      </w:r>
      <w:r>
        <w:rPr>
          <w:vertAlign w:val="baseline"/>
        </w:rPr>
        <w:t xml:space="preserve">Kp.</w:t>
      </w:r>
      <w:r>
        <w:rPr>
          <w:vertAlign w:val="baseline"/>
        </w:rPr>
        <w:t xml:space="preserve"> 99. § (3) bekezdése alapján alkalmazandó </w:t>
      </w:r>
      <w:r>
        <w:rPr>
          <w:vertAlign w:val="baseline"/>
        </w:rPr>
        <w:t xml:space="preserve">Kp.</w:t>
      </w:r>
      <w:r>
        <w:rPr>
          <w:vertAlign w:val="baseline"/>
        </w:rPr>
        <w:t xml:space="preserve"> 124. § (5) bekezdése alapján tárgyaláson kívül bírálta el.</w:t>
      </w:r>
    </w:p>
    <w:p>
      <w:pPr>
        <w:jc w:val="left"/>
      </w:pPr>
      <w:r>
        <w:rPr>
          <w:vertAlign w:val="baseline"/>
        </w:rPr>
        <w:t xml:space="preserve">  </w:t>
      </w:r>
      <w:r>
        <w:rPr>
          <w:vertAlign w:val="baseline"/>
        </w:rPr>
        <w:t xml:space="preserve">[31]</w:t>
      </w:r>
      <w:r>
        <w:rPr>
          <w:vertAlign w:val="baseline"/>
        </w:rPr>
        <w:t xml:space="preserve">     </w:t>
      </w:r>
      <w:r>
        <w:rPr>
          <w:vertAlign w:val="baseline"/>
        </w:rPr>
        <w:t xml:space="preserve">A </w:t>
      </w:r>
      <w:r>
        <w:rPr>
          <w:vertAlign w:val="baseline"/>
        </w:rPr>
        <w:t xml:space="preserve">Kúria</w:t>
      </w:r>
      <w:r>
        <w:rPr>
          <w:vertAlign w:val="baseline"/>
        </w:rPr>
        <w:t xml:space="preserve"> ítélete ellen további jogorvoslatnak nincs helye [Kp. 99. § (5) bekezdése és 116. § d) pontja].</w:t>
      </w:r>
    </w:p>
    <w:p>
      <w:pPr>
        <w:jc w:val="left"/>
      </w:pPr>
      <w:r>
        <w:rPr>
          <w:vertAlign w:val="baseline"/>
        </w:rPr>
        <w:t xml:space="preserve"> </w:t>
      </w:r>
    </w:p>
    <w:p>
      <w:pPr>
        <w:jc w:val="left"/>
      </w:pPr>
      <w:r>
        <w:rPr>
          <w:vertAlign w:val="baseline"/>
        </w:rPr>
        <w:t xml:space="preserve">Budapest, 2021. május 17.</w:t>
      </w:r>
    </w:p>
    <w:p>
      <w:pPr>
        <w:jc w:val="left"/>
      </w:pPr>
      <w:r>
        <w:rPr>
          <w:vertAlign w:val="baseline"/>
        </w:rPr>
        <w:t xml:space="preserve"> </w:t>
      </w:r>
    </w:p>
    <w:p>
      <w:pPr>
        <w:jc w:val="both"/>
      </w:pPr>
      <w:r>
        <w:rPr>
          <w:vertAlign w:val="baseline"/>
        </w:rPr>
        <w:t xml:space="preserve">Dr. Zanathy János</w:t>
      </w:r>
      <w:r>
        <w:rPr>
          <w:vertAlign w:val="baseline"/>
        </w:rPr>
        <w:t xml:space="preserve"> s.k. a tanács elnöke, </w:t>
      </w:r>
      <w:r>
        <w:rPr>
          <w:vertAlign w:val="baseline"/>
        </w:rPr>
        <w:t xml:space="preserve">Dr. Stumpf-Rádai Ágota</w:t>
      </w:r>
      <w:r>
        <w:rPr>
          <w:vertAlign w:val="baseline"/>
        </w:rPr>
        <w:t xml:space="preserve"> s.k. előadó bíró, </w:t>
      </w:r>
      <w:r>
        <w:rPr>
          <w:vertAlign w:val="baseline"/>
        </w:rPr>
        <w:t xml:space="preserve">Dr. Farkas Katalin</w:t>
      </w:r>
      <w:r>
        <w:rPr>
          <w:vertAlign w:val="baseline"/>
        </w:rPr>
        <w:t xml:space="preserve"> s.k. bíró</w:t>
      </w:r>
    </w:p>
    <w:p>
      <w:pPr>
        <w:jc w:val="left"/>
      </w:pPr>
      <w:r>
        <w:rPr>
          <w:vertAlign w:val="baseline"/>
        </w:rPr>
        <w:t xml:space="preserve"> </w:t>
      </w:r>
    </w:p>
    <w:p>
      <w:pPr>
        <w:jc w:val="left"/>
      </w:pPr>
      <w:r>
        <w:rPr>
          <w:vertAlign w:val="baseline"/>
        </w:rPr>
        <w:t xml:space="preserve">A kiadmány hiteléül:</w:t>
      </w:r>
    </w:p>
    <w:p>
      <w:pPr>
        <w:jc w:val="left"/>
      </w:pPr>
      <w:r>
        <w:rPr>
          <w:vertAlign w:val="baseline"/>
        </w:rPr>
        <w:t xml:space="preserve"> </w:t>
      </w:r>
    </w:p>
    <w:p>
      <w:pPr>
        <w:jc w:val="left"/>
      </w:pPr>
      <w:r>
        <w:rPr>
          <w:vertAlign w:val="baseline"/>
        </w:rPr>
        <w:t xml:space="preserve">tisztviselő</w:t>
      </w:r>
    </w:p>
    <w:p>
      <w:pPr>
        <w:jc w:val="left"/>
      </w:pPr>
      <w:r>
        <w:rPr>
          <w:vertAlign w:val="baseline"/>
        </w:rPr>
        <w:t xml:space="preserve">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VII.Kf.40.392/2020/8</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