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ectPr w:rsidRPr="00A06AEC" w:rsidR="008333F1" w:rsidSect="00FA2D4D">
      <w:headerReference w:type="default" r:id="rId8"/>
      <w:headerReference w:type="first" r:id="rId9"/>
      <w:footerReference w:type="first" r:id="rId10"/>
      <w:pgSz w:w="11906" w:h="16838"/>
      <w:pgMar w:top="1417" w:right="1417" w:bottom="1417" w:left="1417" w:header="709" w:footer="709" w:gutter="0"/>
      <w:cols w:space="708"/>
      <w:titlePg/>
      <w:docGrid w:linePitch="360"/>
    </w:sectPr>
    <w:p>
      <w:pPr>
        <w:jc w:val="left"/>
      </w:pPr>
      <w:r>
        <w:rPr>
          <w:vertAlign w:val="baseline"/>
        </w:rPr>
        <w:t xml:space="preserve"> </w:t>
      </w:r>
      <w:r>
        <w:br/>
      </w:r>
    </w:p>
    <w:p>
      <w:pPr>
        <w:jc w:val="center"/>
      </w:pPr>
      <w:r>
        <w:rPr>
          <w:b/>
          <w:vertAlign w:val="baseline"/>
        </w:rPr>
        <w:t xml:space="preserve">A </w:t>
      </w:r>
      <w:r>
        <w:rPr>
          <w:b/>
          <w:vertAlign w:val="baseline"/>
        </w:rPr>
        <w:t xml:space="preserve">Kúria</w:t>
      </w:r>
      <w:r>
        <w:rPr>
          <w:b/>
          <w:vertAlign w:val="baseline"/>
        </w:rPr>
        <w:t xml:space="preserve"> </w:t>
      </w:r>
      <w:r>
        <w:br/>
      </w:r>
      <w:r>
        <w:rPr>
          <w:b/>
          <w:vertAlign w:val="baseline"/>
        </w:rPr>
        <w:t xml:space="preserve"> mint felülvizsgálati bíróság</w:t>
      </w:r>
    </w:p>
    <w:p>
      <w:pPr>
        <w:jc w:val="left"/>
      </w:pPr>
      <w:r>
        <w:rPr>
          <w:vertAlign w:val="baseline"/>
        </w:rPr>
        <w:t xml:space="preserve">  </w:t>
      </w:r>
    </w:p>
    <w:p>
      <w:pPr>
        <w:jc w:val="center"/>
      </w:pPr>
      <w:r>
        <w:rPr>
          <w:b/>
          <w:vertAlign w:val="baseline"/>
        </w:rPr>
        <w:t xml:space="preserve">ítélete</w:t>
      </w:r>
    </w:p>
    <w:p>
      <w:pPr>
        <w:jc w:val="left"/>
      </w:pPr>
      <w:r>
        <w:rPr>
          <w:vertAlign w:val="baseline"/>
        </w:rPr>
        <w:t xml:space="preserve"> </w:t>
      </w:r>
      <w:r>
        <w:br/>
      </w:r>
    </w:p>
    <w:p>
      <w:pPr>
        <w:jc w:val="both"/>
      </w:pPr>
      <w:r>
        <w:rPr>
          <w:b/>
          <w:vertAlign w:val="baseline"/>
        </w:rPr>
        <w:t xml:space="preserve">Az ügy szám</w:t>
      </w:r>
      <w:r>
        <w:rPr>
          <w:b/>
          <w:vertAlign w:val="baseline"/>
        </w:rPr>
        <w:t xml:space="preserve">a: </w:t>
      </w:r>
      <w:r>
        <w:rPr>
          <w:vertAlign w:val="baseline"/>
        </w:rPr>
        <w:t xml:space="preserve">Kfv.V.35.306/2021/9</w:t>
      </w:r>
      <w:r>
        <w:rPr>
          <w:vertAlign w:val="baseline"/>
        </w:rPr>
        <w:t xml:space="preserve">.</w:t>
      </w:r>
    </w:p>
    <w:p>
      <w:pPr>
        <w:jc w:val="left"/>
      </w:pPr>
      <w:r>
        <w:rPr>
          <w:vertAlign w:val="baseline"/>
        </w:rPr>
        <w:t xml:space="preserve">  </w:t>
      </w:r>
    </w:p>
    <w:p>
      <w:pPr>
        <w:jc w:val="both"/>
      </w:pPr>
      <w:r>
        <w:rPr>
          <w:b/>
          <w:vertAlign w:val="baseline"/>
        </w:rPr>
        <w:t xml:space="preserve">A tanács tagjai: </w:t>
      </w:r>
      <w:r>
        <w:rPr>
          <w:vertAlign w:val="baseline"/>
        </w:rPr>
        <w:t xml:space="preserve">dr. Darák Péter</w:t>
      </w:r>
      <w:r>
        <w:rPr>
          <w:vertAlign w:val="baseline"/>
        </w:rPr>
        <w:t xml:space="preserve"> a tanács elnöke</w:t>
      </w:r>
    </w:p>
    <w:p>
      <w:pPr>
        <w:jc w:val="left"/>
      </w:pPr>
      <w:r>
        <w:rPr>
          <w:vertAlign w:val="baseline"/>
        </w:rPr>
        <w:t xml:space="preserve">  </w:t>
      </w:r>
    </w:p>
    <w:p>
      <w:pPr>
        <w:jc w:val="both"/>
      </w:pPr>
      <w:r>
        <w:rPr>
          <w:vertAlign w:val="baseline"/>
        </w:rPr>
        <w:t xml:space="preserve">                           </w:t>
      </w:r>
      <w:r>
        <w:rPr>
          <w:vertAlign w:val="baseline"/>
        </w:rPr>
        <w:t xml:space="preserve">dr. Stefancsik Márta</w:t>
      </w:r>
      <w:r>
        <w:rPr>
          <w:vertAlign w:val="baseline"/>
        </w:rPr>
        <w:t xml:space="preserve"> előadó bíró</w:t>
      </w:r>
    </w:p>
    <w:p>
      <w:pPr>
        <w:jc w:val="left"/>
      </w:pPr>
      <w:r>
        <w:rPr>
          <w:vertAlign w:val="baseline"/>
        </w:rPr>
        <w:t xml:space="preserve">  </w:t>
      </w:r>
    </w:p>
    <w:p>
      <w:pPr>
        <w:jc w:val="both"/>
      </w:pPr>
      <w:r>
        <w:rPr>
          <w:vertAlign w:val="baseline"/>
        </w:rPr>
        <w:t xml:space="preserve">                           </w:t>
      </w:r>
      <w:r>
        <w:rPr>
          <w:vertAlign w:val="baseline"/>
        </w:rPr>
        <w:t xml:space="preserve">dr. Demjén Péter</w:t>
      </w:r>
      <w:r>
        <w:rPr>
          <w:vertAlign w:val="baseline"/>
        </w:rPr>
        <w:t xml:space="preserve"> bíró</w:t>
      </w:r>
    </w:p>
    <w:p>
      <w:pPr>
        <w:jc w:val="left"/>
      </w:pPr>
      <w:r>
        <w:rPr>
          <w:vertAlign w:val="baseline"/>
        </w:rPr>
        <w:t xml:space="preserve">  </w:t>
      </w:r>
    </w:p>
    <w:p>
      <w:pPr>
        <w:jc w:val="both"/>
      </w:pPr>
      <w:r>
        <w:rPr>
          <w:vertAlign w:val="baseline"/>
        </w:rPr>
        <w:t xml:space="preserve">dr. Drávecz Margit Gyöngyvér</w:t>
      </w:r>
      <w:r>
        <w:rPr>
          <w:vertAlign w:val="baseline"/>
        </w:rPr>
        <w:t xml:space="preserve"> bíró</w:t>
      </w:r>
    </w:p>
    <w:p>
      <w:pPr>
        <w:jc w:val="left"/>
      </w:pPr>
      <w:r>
        <w:rPr>
          <w:vertAlign w:val="baseline"/>
        </w:rPr>
        <w:t xml:space="preserve">  </w:t>
      </w:r>
    </w:p>
    <w:p>
      <w:pPr>
        <w:jc w:val="both"/>
      </w:pPr>
      <w:r>
        <w:rPr>
          <w:vertAlign w:val="baseline"/>
        </w:rPr>
        <w:t xml:space="preserve">Ságiné </w:t>
      </w:r>
      <w:r>
        <w:rPr>
          <w:vertAlign w:val="baseline"/>
        </w:rPr>
        <w:t xml:space="preserve">dr. Márkus Anett</w:t>
      </w:r>
      <w:r>
        <w:rPr>
          <w:vertAlign w:val="baseline"/>
        </w:rPr>
        <w:t xml:space="preserve"> bíró</w:t>
      </w:r>
    </w:p>
    <w:p>
      <w:pPr>
        <w:jc w:val="left"/>
      </w:pPr>
      <w:r>
        <w:rPr>
          <w:vertAlign w:val="baseline"/>
        </w:rPr>
        <w:t xml:space="preserve"> </w:t>
      </w:r>
      <w:r>
        <w:br/>
      </w:r>
    </w:p>
    <w:p>
      <w:pPr>
        <w:jc w:val="both"/>
      </w:pPr>
      <w:r>
        <w:rPr>
          <w:b/>
          <w:vertAlign w:val="baseline"/>
        </w:rPr>
        <w:t xml:space="preserve">A felperes: </w:t>
      </w:r>
      <w:r>
        <w:rPr>
          <w:vertAlign w:val="baseline"/>
        </w:rPr>
        <w:t xml:space="preserve">felperes</w:t>
      </w:r>
    </w:p>
    <w:p>
      <w:pPr>
        <w:jc w:val="left"/>
      </w:pPr>
      <w:r>
        <w:rPr>
          <w:vertAlign w:val="baseline"/>
        </w:rPr>
        <w:t xml:space="preserve">  </w:t>
      </w:r>
    </w:p>
    <w:p>
      <w:pPr>
        <w:jc w:val="both"/>
      </w:pPr>
      <w:r>
        <w:rPr>
          <w:vertAlign w:val="baseline"/>
        </w:rPr>
        <w:t xml:space="preserve">                  </w:t>
      </w:r>
      <w:r>
        <w:rPr>
          <w:vertAlign w:val="baseline"/>
        </w:rPr>
        <w:t xml:space="preserve">(</w:t>
      </w:r>
      <w:r>
        <w:rPr>
          <w:vertAlign w:val="baseline"/>
        </w:rPr>
        <w:t xml:space="preserve">cím1</w:t>
      </w:r>
      <w:r>
        <w:rPr>
          <w:vertAlign w:val="baseline"/>
        </w:rPr>
        <w:t xml:space="preserve">5.)</w:t>
      </w:r>
    </w:p>
    <w:p>
      <w:pPr>
        <w:jc w:val="left"/>
      </w:pPr>
      <w:r>
        <w:rPr>
          <w:vertAlign w:val="baseline"/>
        </w:rPr>
        <w:t xml:space="preserve">  </w:t>
      </w:r>
    </w:p>
    <w:p>
      <w:pPr>
        <w:jc w:val="both"/>
      </w:pPr>
      <w:r>
        <w:rPr>
          <w:b/>
          <w:vertAlign w:val="baseline"/>
        </w:rPr>
        <w:t xml:space="preserve">A felperes képviselője: </w:t>
      </w:r>
      <w:r>
        <w:rPr>
          <w:vertAlign w:val="baseline"/>
        </w:rPr>
        <w:t xml:space="preserve">Dr. Nyanyista László Ügyvédi Iroda</w:t>
      </w:r>
    </w:p>
    <w:p>
      <w:pPr>
        <w:jc w:val="left"/>
      </w:pPr>
      <w:r>
        <w:rPr>
          <w:vertAlign w:val="baseline"/>
        </w:rPr>
        <w:t xml:space="preserve">  </w:t>
      </w:r>
    </w:p>
    <w:p>
      <w:pPr>
        <w:jc w:val="both"/>
      </w:pPr>
      <w:r>
        <w:rPr>
          <w:vertAlign w:val="baseline"/>
        </w:rPr>
        <w:t xml:space="preserve">(ügyintéző: </w:t>
      </w:r>
      <w:r>
        <w:rPr>
          <w:vertAlign w:val="baseline"/>
        </w:rPr>
        <w:t xml:space="preserve">dr. Nyanyista László</w:t>
      </w:r>
      <w:r>
        <w:rPr>
          <w:vertAlign w:val="baseline"/>
        </w:rPr>
        <w:t xml:space="preserve"> ügyvéd)</w:t>
      </w:r>
    </w:p>
    <w:p>
      <w:pPr>
        <w:jc w:val="left"/>
      </w:pPr>
      <w:r>
        <w:rPr>
          <w:vertAlign w:val="baseline"/>
        </w:rPr>
        <w:t xml:space="preserve">  </w:t>
      </w:r>
    </w:p>
    <w:p>
      <w:pPr>
        <w:jc w:val="both"/>
      </w:pPr>
      <w:r>
        <w:rPr>
          <w:vertAlign w:val="baseline"/>
        </w:rPr>
        <w:t xml:space="preserve">(</w:t>
      </w:r>
      <w:r>
        <w:rPr>
          <w:vertAlign w:val="baseline"/>
        </w:rPr>
        <w:t xml:space="preserve">cím2</w:t>
      </w:r>
      <w:r>
        <w:rPr>
          <w:vertAlign w:val="baseline"/>
        </w:rPr>
        <w:t xml:space="preserve">.)</w:t>
      </w:r>
    </w:p>
    <w:p>
      <w:pPr>
        <w:jc w:val="left"/>
      </w:pPr>
      <w:r>
        <w:rPr>
          <w:vertAlign w:val="baseline"/>
        </w:rPr>
        <w:t xml:space="preserve"> </w:t>
      </w:r>
      <w:r>
        <w:br/>
      </w:r>
    </w:p>
    <w:p>
      <w:pPr>
        <w:jc w:val="both"/>
      </w:pPr>
      <w:r>
        <w:rPr>
          <w:b/>
          <w:vertAlign w:val="baseline"/>
        </w:rPr>
        <w:t xml:space="preserve">Az alperes: </w:t>
      </w:r>
      <w:r>
        <w:rPr>
          <w:vertAlign w:val="baseline"/>
        </w:rPr>
        <w:t xml:space="preserve">Nemzeti Adó</w:t>
      </w:r>
      <w:r>
        <w:rPr>
          <w:vertAlign w:val="baseline"/>
        </w:rPr>
        <w:t xml:space="preserve">- és </w:t>
      </w:r>
      <w:r>
        <w:rPr>
          <w:vertAlign w:val="baseline"/>
        </w:rPr>
        <w:t xml:space="preserve">Vámhivatal Fellebbviteli Igazgatósága</w:t>
      </w:r>
    </w:p>
    <w:p>
      <w:pPr>
        <w:jc w:val="left"/>
      </w:pPr>
      <w:r>
        <w:rPr>
          <w:vertAlign w:val="baseline"/>
        </w:rPr>
        <w:t xml:space="preserve">  </w:t>
      </w:r>
    </w:p>
    <w:p>
      <w:pPr>
        <w:jc w:val="both"/>
      </w:pPr>
      <w:r>
        <w:rPr>
          <w:vertAlign w:val="baseline"/>
        </w:rPr>
        <w:t xml:space="preserve">                     </w:t>
      </w:r>
      <w:r>
        <w:rPr>
          <w:vertAlign w:val="baseline"/>
        </w:rPr>
        <w:t xml:space="preserve">(</w:t>
      </w:r>
      <w:r>
        <w:rPr>
          <w:vertAlign w:val="baseline"/>
        </w:rPr>
        <w:t xml:space="preserve">cím3</w:t>
      </w:r>
      <w:r>
        <w:rPr>
          <w:vertAlign w:val="baseline"/>
        </w:rPr>
        <w:t xml:space="preserve">)</w:t>
      </w:r>
    </w:p>
    <w:p>
      <w:pPr>
        <w:jc w:val="left"/>
      </w:pPr>
      <w:r>
        <w:rPr>
          <w:vertAlign w:val="baseline"/>
        </w:rPr>
        <w:t xml:space="preserve">  </w:t>
      </w:r>
    </w:p>
    <w:p>
      <w:pPr>
        <w:jc w:val="both"/>
      </w:pPr>
      <w:r>
        <w:rPr>
          <w:b/>
          <w:vertAlign w:val="baseline"/>
        </w:rPr>
        <w:t xml:space="preserve">Az alperes képviselője: </w:t>
      </w:r>
      <w:r>
        <w:rPr>
          <w:vertAlign w:val="baseline"/>
        </w:rPr>
        <w:t xml:space="preserve">dr. Feketéné</w:t>
      </w:r>
      <w:r>
        <w:rPr>
          <w:vertAlign w:val="baseline"/>
        </w:rPr>
        <w:t xml:space="preserve"> </w:t>
      </w:r>
      <w:r>
        <w:rPr>
          <w:vertAlign w:val="baseline"/>
        </w:rPr>
        <w:t xml:space="preserve">dr. Németh Georgina</w:t>
      </w:r>
      <w:r>
        <w:rPr>
          <w:vertAlign w:val="baseline"/>
        </w:rPr>
        <w:t xml:space="preserve"> kamarai jogtanácsos</w:t>
      </w:r>
    </w:p>
    <w:p>
      <w:pPr>
        <w:jc w:val="left"/>
      </w:pPr>
      <w:r>
        <w:rPr>
          <w:vertAlign w:val="baseline"/>
        </w:rPr>
        <w:t xml:space="preserve"> </w:t>
      </w:r>
      <w:r>
        <w:br/>
      </w:r>
    </w:p>
    <w:p>
      <w:pPr>
        <w:jc w:val="both"/>
      </w:pPr>
      <w:r>
        <w:rPr>
          <w:b/>
          <w:vertAlign w:val="baseline"/>
        </w:rPr>
        <w:t xml:space="preserve">A per tárgya: </w:t>
      </w:r>
      <w:r>
        <w:rPr>
          <w:vertAlign w:val="baseline"/>
        </w:rPr>
        <w:t xml:space="preserve">adóhatósági határozat elleni közigazgatási per</w:t>
      </w:r>
    </w:p>
    <w:p>
      <w:pPr>
        <w:jc w:val="left"/>
      </w:pPr>
      <w:r>
        <w:rPr>
          <w:vertAlign w:val="baseline"/>
        </w:rPr>
        <w:t xml:space="preserve"> </w:t>
      </w:r>
      <w:r>
        <w:br/>
      </w:r>
    </w:p>
    <w:p>
      <w:pPr>
        <w:jc w:val="both"/>
      </w:pPr>
      <w:r>
        <w:rPr>
          <w:b/>
          <w:vertAlign w:val="baseline"/>
        </w:rPr>
        <w:t xml:space="preserve">A felülvizsgálati kérelmet benyújtó fél: </w:t>
      </w:r>
      <w:r>
        <w:rPr>
          <w:vertAlign w:val="baseline"/>
        </w:rPr>
        <w:t xml:space="preserve">felperes, 14. sorszám alatt</w:t>
      </w:r>
    </w:p>
    <w:p>
      <w:pPr>
        <w:jc w:val="left"/>
      </w:pPr>
      <w:r>
        <w:rPr>
          <w:vertAlign w:val="baseline"/>
        </w:rPr>
        <w:t xml:space="preserve"> </w:t>
      </w:r>
      <w:r>
        <w:br/>
      </w:r>
    </w:p>
    <w:p>
      <w:pPr>
        <w:jc w:val="both"/>
      </w:pPr>
      <w:r>
        <w:rPr>
          <w:b/>
          <w:vertAlign w:val="baseline"/>
        </w:rPr>
        <w:t xml:space="preserve">A felülvizsgálni kért jogerős határozat: </w:t>
      </w:r>
      <w:r>
        <w:rPr>
          <w:vertAlign w:val="baseline"/>
        </w:rPr>
        <w:t xml:space="preserve">Fővárosi Törvényszék</w:t>
      </w:r>
      <w:r>
        <w:rPr>
          <w:vertAlign w:val="baseline"/>
        </w:rPr>
        <w:t xml:space="preserve"> </w:t>
      </w:r>
      <w:r>
        <w:rPr>
          <w:vertAlign w:val="baseline"/>
        </w:rPr>
        <w:t xml:space="preserve">2021. május 28.</w:t>
      </w:r>
      <w:r>
        <w:rPr>
          <w:vertAlign w:val="baseline"/>
        </w:rPr>
        <w:t xml:space="preserve"> napján kelt </w:t>
      </w:r>
      <w:r>
        <w:rPr>
          <w:vertAlign w:val="baseline"/>
        </w:rPr>
        <w:t xml:space="preserve">8.K.707.713/2020/12</w:t>
      </w:r>
      <w:r>
        <w:rPr>
          <w:vertAlign w:val="baseline"/>
        </w:rPr>
        <w:t xml:space="preserve">.</w:t>
      </w:r>
      <w:r>
        <w:rPr>
          <w:vertAlign w:val="baseline"/>
        </w:rPr>
        <w:t xml:space="preserve"> számú ítélete</w:t>
      </w:r>
    </w:p>
    <w:p>
      <w:pPr>
        <w:jc w:val="left"/>
      </w:pPr>
      <w:r>
        <w:rPr>
          <w:vertAlign w:val="baseline"/>
        </w:rPr>
        <w:t xml:space="preserve"> </w:t>
      </w:r>
      <w:r>
        <w:br/>
      </w:r>
    </w:p>
    <w:p>
      <w:pPr>
        <w:jc w:val="both"/>
      </w:pPr>
      <w:r>
        <w:rPr>
          <w:b/>
          <w:vertAlign w:val="baseline"/>
        </w:rPr>
        <w:t xml:space="preserve">Rendelkező rész</w:t>
      </w:r>
    </w:p>
    <w:p>
      <w:pPr>
        <w:jc w:val="left"/>
      </w:pPr>
      <w:r>
        <w:rPr>
          <w:vertAlign w:val="baseline"/>
        </w:rPr>
        <w:t xml:space="preserve"> </w:t>
      </w:r>
      <w:r>
        <w:br/>
      </w:r>
    </w:p>
    <w:p>
      <w:pPr>
        <w:jc w:val="both"/>
      </w:pPr>
      <w:r>
        <w:rPr>
          <w:vertAlign w:val="baseline"/>
        </w:rPr>
        <w:t xml:space="preserve">A </w:t>
      </w:r>
      <w:r>
        <w:rPr>
          <w:vertAlign w:val="baseline"/>
        </w:rPr>
        <w:t xml:space="preserve">Kúria</w:t>
      </w:r>
      <w:r>
        <w:rPr>
          <w:vertAlign w:val="baseline"/>
        </w:rPr>
        <w:t xml:space="preserve"> a </w:t>
      </w:r>
      <w:r>
        <w:rPr>
          <w:vertAlign w:val="baseline"/>
        </w:rPr>
        <w:t xml:space="preserve">Fővárosi Törvényszék</w:t>
      </w:r>
      <w:r>
        <w:rPr>
          <w:vertAlign w:val="baseline"/>
        </w:rPr>
        <w:t xml:space="preserve"> </w:t>
      </w:r>
      <w:r>
        <w:rPr>
          <w:vertAlign w:val="baseline"/>
        </w:rPr>
        <w:t xml:space="preserve">8.K.707.713/2020/12</w:t>
      </w:r>
      <w:r>
        <w:rPr>
          <w:vertAlign w:val="baseline"/>
        </w:rPr>
        <w:t xml:space="preserve">. számú ítéletét megváltoztatja, az alperes </w:t>
      </w:r>
      <w:r>
        <w:rPr>
          <w:vertAlign w:val="baseline"/>
        </w:rPr>
        <w:t xml:space="preserve">2234179463</w:t>
      </w:r>
      <w:r>
        <w:rPr>
          <w:vertAlign w:val="baseline"/>
        </w:rPr>
        <w:t xml:space="preserve"> számú határozatának keresettel támadott részét megsemmisíti és az alperest új eljárásra kötelezi.</w:t>
      </w:r>
    </w:p>
    <w:p>
      <w:pPr>
        <w:jc w:val="left"/>
      </w:pPr>
      <w:r>
        <w:rPr>
          <w:vertAlign w:val="baseline"/>
        </w:rPr>
        <w:t xml:space="preserve"> </w:t>
      </w:r>
      <w:r>
        <w:br/>
      </w:r>
    </w:p>
    <w:p>
      <w:pPr>
        <w:jc w:val="both"/>
      </w:pPr>
      <w:r>
        <w:rPr>
          <w:vertAlign w:val="baseline"/>
        </w:rPr>
        <w:t xml:space="preserve">Kötelezi az alperest, hogy 15 napon belül fizessen meg a felperesnek </w:t>
      </w:r>
      <w:r>
        <w:rPr>
          <w:vertAlign w:val="baseline"/>
        </w:rPr>
        <w:t xml:space="preserve">2.000.000</w:t>
      </w:r>
      <w:r>
        <w:rPr>
          <w:vertAlign w:val="baseline"/>
        </w:rPr>
        <w:t xml:space="preserve"> (azaz kettőmillió) forint együttes elsőfokú és felülvizsgálati perköltséget.</w:t>
      </w:r>
    </w:p>
    <w:p>
      <w:pPr>
        <w:jc w:val="left"/>
      </w:pPr>
      <w:r>
        <w:rPr>
          <w:vertAlign w:val="baseline"/>
        </w:rPr>
        <w:t xml:space="preserve"> </w:t>
      </w:r>
      <w:r>
        <w:br/>
      </w:r>
    </w:p>
    <w:p>
      <w:pPr>
        <w:jc w:val="both"/>
      </w:pPr>
      <w:r>
        <w:rPr>
          <w:vertAlign w:val="baseline"/>
        </w:rPr>
        <w:t xml:space="preserve">A kereseti és a felülvizsgálati eljárási illeték az állam terhén marad.</w:t>
      </w:r>
    </w:p>
    <w:p>
      <w:pPr>
        <w:jc w:val="left"/>
      </w:pPr>
      <w:r>
        <w:rPr>
          <w:vertAlign w:val="baseline"/>
        </w:rPr>
        <w:t xml:space="preserve"> </w:t>
      </w:r>
      <w:r>
        <w:br/>
      </w:r>
    </w:p>
    <w:p>
      <w:pPr>
        <w:jc w:val="both"/>
      </w:pPr>
      <w:r>
        <w:rPr>
          <w:vertAlign w:val="baseline"/>
        </w:rPr>
        <w:t xml:space="preserve">Az ítélet ellen további felülvizsgálatnak nincs helye.</w:t>
      </w:r>
    </w:p>
    <w:p>
      <w:pPr>
        <w:jc w:val="left"/>
      </w:pPr>
      <w:r>
        <w:rPr>
          <w:vertAlign w:val="baseline"/>
        </w:rPr>
        <w:t xml:space="preserve">  </w:t>
      </w:r>
    </w:p>
    <w:p>
      <w:pPr>
        <w:jc w:val="left"/>
      </w:pPr>
      <w:r>
        <w:rPr>
          <w:b/>
          <w:vertAlign w:val="baseline"/>
        </w:rPr>
        <w:t xml:space="preserve">I n d o k o l á s</w:t>
      </w:r>
    </w:p>
    <w:p>
      <w:pPr>
        <w:jc w:val="left"/>
      </w:pPr>
      <w:r>
        <w:rPr>
          <w:vertAlign w:val="baseline"/>
        </w:rPr>
        <w:t xml:space="preserve">  </w:t>
      </w:r>
    </w:p>
    <w:p>
      <w:pPr>
        <w:jc w:val="left"/>
      </w:pPr>
      <w:r>
        <w:rPr>
          <w:b/>
          <w:vertAlign w:val="baseline"/>
        </w:rPr>
        <w:t xml:space="preserve">A felülvizsgálat alapjául szolgáló tényállás</w:t>
      </w:r>
    </w:p>
    <w:p>
      <w:pPr>
        <w:jc w:val="left"/>
      </w:pPr>
      <w:r>
        <w:rPr>
          <w:vertAlign w:val="baseline"/>
        </w:rPr>
        <w:t xml:space="preserve">  </w:t>
      </w:r>
    </w:p>
    <w:p>
      <w:pPr>
        <w:jc w:val="both"/>
      </w:pPr>
      <w:r>
        <w:rPr>
          <w:vertAlign w:val="baseline"/>
        </w:rPr>
        <w:t xml:space="preserve">[1]</w:t>
      </w:r>
      <w:r>
        <w:rPr>
          <w:vertAlign w:val="baseline"/>
        </w:rPr>
        <w:t xml:space="preserve">           </w:t>
      </w:r>
      <w:r>
        <w:rPr>
          <w:vertAlign w:val="baseline"/>
        </w:rPr>
        <w:t xml:space="preserve">A felperes 2011. január 3-án jogutódlással jött létre </w:t>
      </w:r>
      <w:r>
        <w:rPr>
          <w:vertAlign w:val="baseline"/>
        </w:rPr>
        <w:t xml:space="preserve">G.K.</w:t>
      </w:r>
      <w:r>
        <w:rPr>
          <w:vertAlign w:val="baseline"/>
        </w:rPr>
        <w:t xml:space="preserve"> Kft. néven, 2010-ben egyetlen tagja az </w:t>
      </w:r>
      <w:r>
        <w:rPr>
          <w:vertAlign w:val="baseline"/>
        </w:rPr>
        <w:t xml:space="preserve">Egyesült Királyságban</w:t>
      </w:r>
      <w:r>
        <w:rPr>
          <w:vertAlign w:val="baseline"/>
        </w:rPr>
        <w:t xml:space="preserve"> bejegyzett </w:t>
      </w:r>
      <w:r>
        <w:rPr>
          <w:vertAlign w:val="baseline"/>
        </w:rPr>
        <w:t xml:space="preserve">G.I.H.L.</w:t>
      </w:r>
      <w:r>
        <w:rPr>
          <w:vertAlign w:val="baseline"/>
        </w:rPr>
        <w:t xml:space="preserve"> volt. A felperes, mint adós a holland illetékességű </w:t>
      </w:r>
      <w:r>
        <w:rPr>
          <w:vertAlign w:val="baseline"/>
        </w:rPr>
        <w:t xml:space="preserve">G.B.BV.</w:t>
      </w:r>
      <w:r>
        <w:rPr>
          <w:vertAlign w:val="baseline"/>
        </w:rPr>
        <w:t xml:space="preserve"> kapcsolt vállalkozásával (a továbbiakban: </w:t>
      </w:r>
      <w:r>
        <w:rPr>
          <w:vertAlign w:val="baseline"/>
        </w:rPr>
        <w:t xml:space="preserve">BV</w:t>
      </w:r>
      <w:r>
        <w:rPr>
          <w:vertAlign w:val="baseline"/>
        </w:rPr>
        <w:t xml:space="preserve">) 2010. december 29-én angol nyelvű kölcsönszerződést kötött, amely keretében a </w:t>
      </w:r>
      <w:r>
        <w:rPr>
          <w:vertAlign w:val="baseline"/>
        </w:rPr>
        <w:t xml:space="preserve">BV,</w:t>
      </w:r>
      <w:r>
        <w:rPr>
          <w:vertAlign w:val="baseline"/>
        </w:rPr>
        <w:t xml:space="preserve"> mint hitelező 3 milliárd </w:t>
      </w:r>
      <w:r>
        <w:rPr>
          <w:vertAlign w:val="baseline"/>
        </w:rPr>
        <w:t xml:space="preserve">Ft,</w:t>
      </w:r>
      <w:r>
        <w:rPr>
          <w:vertAlign w:val="baseline"/>
        </w:rPr>
        <w:t xml:space="preserve"> más hitelezői követelésekkel szemben alárendelt kölcsönt nyújtott a felperesnek 2060. december 31-i lejárattal, fix évi 11,32% ügyleti kamat ellenében.</w:t>
      </w:r>
    </w:p>
    <w:p>
      <w:pPr>
        <w:jc w:val="left"/>
      </w:pPr>
      <w:r>
        <w:rPr>
          <w:vertAlign w:val="baseline"/>
        </w:rPr>
        <w:t xml:space="preserve">  </w:t>
      </w:r>
    </w:p>
    <w:p>
      <w:pPr>
        <w:jc w:val="both"/>
      </w:pPr>
      <w:r>
        <w:rPr>
          <w:vertAlign w:val="baseline"/>
        </w:rPr>
        <w:t xml:space="preserve">[2]</w:t>
      </w:r>
      <w:r>
        <w:rPr>
          <w:vertAlign w:val="baseline"/>
        </w:rPr>
        <w:t xml:space="preserve">           </w:t>
      </w:r>
      <w:r>
        <w:rPr>
          <w:vertAlign w:val="baseline"/>
        </w:rPr>
        <w:t xml:space="preserve">A szerződés 1.3. pontja szerint a felperes harmadik fél irányában fennálló jelenlegi és jövőbeli kötelezettségeinek teljesítése megelőzi a hitelező felé fennálló szerződéses kötelezettség teljesítését. A hitelező vállalta, hogy a kölcsön ilyen értelmű alárendelt voltát kérésre közli a harmadik féllel. A szerződés 3.2. pontja alapján a kamat kizárólag akkor merül fel és válik esedékessé, amikor a felperes tevékenységéből a 3.5. pontban definiált „nettó jövedelmet” ér el. A 3.5. pont értelmében a „nettó jövedelem” az adós adott pénzügyi év végeztével elkészített kimutatásain alapul; megegyezik az adós adózás utáni eredményével, nem számítva az adott kölcsön periódusban fizetendő kamatot, és számítása a </w:t>
      </w:r>
      <w:r>
        <w:rPr>
          <w:vertAlign w:val="baseline"/>
        </w:rPr>
        <w:t xml:space="preserve">Nemzetközi Pénzügyi Beszámolási Standardok</w:t>
      </w:r>
      <w:r>
        <w:rPr>
          <w:vertAlign w:val="baseline"/>
        </w:rPr>
        <w:t xml:space="preserve"> (IFRS) vagy bármely helyi, általánosan elfogadott számviteli elvek (GAAP) alapján történik. A szerződés 3.7. pontja szerint az esedékes kamat vonatkozásában a fizetési késedelem nem kerül tőkésítésre. A szerződés 5.2. pontja értelmében szerződésszegés esetén a hitelező értesítést küld az adósnak a teljes hitelösszeg vagy annak egy része, kamatai és költségei azonnali visszafizetésének kötelezettségéről. A felek kikötötték (10.1. pont), hogy a holland jogszabályok szerint járnak el. A kölcsönszerződésben biztosíték kikötésére nem került sor.</w:t>
      </w:r>
    </w:p>
    <w:p>
      <w:pPr>
        <w:jc w:val="left"/>
      </w:pPr>
      <w:r>
        <w:rPr>
          <w:vertAlign w:val="baseline"/>
        </w:rPr>
        <w:t xml:space="preserve">  </w:t>
      </w:r>
    </w:p>
    <w:p>
      <w:pPr>
        <w:jc w:val="both"/>
      </w:pPr>
      <w:r>
        <w:rPr>
          <w:vertAlign w:val="baseline"/>
        </w:rPr>
        <w:t xml:space="preserve">[3]</w:t>
      </w:r>
      <w:r>
        <w:rPr>
          <w:vertAlign w:val="baseline"/>
        </w:rPr>
        <w:t xml:space="preserve">           </w:t>
      </w:r>
      <w:r>
        <w:rPr>
          <w:vertAlign w:val="baseline"/>
        </w:rPr>
        <w:t xml:space="preserve">A felperes a kölcsönt egy holland bankkal 2006-ban kötött hitelszerződés alapján fennálló tartozása visszafizetésére fordította, a kölcsönt 2017-ben előtörlesztette, majd 2018 márciusában visszafizette.</w:t>
      </w:r>
    </w:p>
    <w:p>
      <w:pPr>
        <w:jc w:val="left"/>
      </w:pPr>
      <w:r>
        <w:rPr>
          <w:vertAlign w:val="baseline"/>
        </w:rPr>
        <w:t xml:space="preserve">  </w:t>
      </w:r>
    </w:p>
    <w:p>
      <w:pPr>
        <w:jc w:val="both"/>
      </w:pPr>
      <w:r>
        <w:rPr>
          <w:vertAlign w:val="baseline"/>
        </w:rPr>
        <w:t xml:space="preserve">[4]</w:t>
      </w:r>
      <w:r>
        <w:rPr>
          <w:vertAlign w:val="baseline"/>
        </w:rPr>
        <w:t xml:space="preserve">           </w:t>
      </w:r>
      <w:r>
        <w:rPr>
          <w:vertAlign w:val="baseline"/>
        </w:rPr>
        <w:t xml:space="preserve">A felperes a szerződés alapján 2011. évben </w:t>
      </w:r>
      <w:r>
        <w:rPr>
          <w:vertAlign w:val="baseline"/>
        </w:rPr>
        <w:t xml:space="preserve">347.146.667</w:t>
      </w:r>
      <w:r>
        <w:rPr>
          <w:vertAlign w:val="baseline"/>
        </w:rPr>
        <w:t xml:space="preserve"> </w:t>
      </w:r>
      <w:r>
        <w:rPr>
          <w:vertAlign w:val="baseline"/>
        </w:rPr>
        <w:t xml:space="preserve">Ft,</w:t>
      </w:r>
      <w:r>
        <w:rPr>
          <w:vertAlign w:val="baseline"/>
        </w:rPr>
        <w:t xml:space="preserve"> 2012. évben </w:t>
      </w:r>
      <w:r>
        <w:rPr>
          <w:vertAlign w:val="baseline"/>
        </w:rPr>
        <w:t xml:space="preserve">345.260.000</w:t>
      </w:r>
      <w:r>
        <w:rPr>
          <w:vertAlign w:val="baseline"/>
        </w:rPr>
        <w:t xml:space="preserve"> </w:t>
      </w:r>
      <w:r>
        <w:rPr>
          <w:vertAlign w:val="baseline"/>
        </w:rPr>
        <w:t xml:space="preserve">Ft</w:t>
      </w:r>
      <w:r>
        <w:rPr>
          <w:vertAlign w:val="baseline"/>
        </w:rPr>
        <w:t xml:space="preserve"> megfizetett kamatot az adózás előtti eredménye terhére költségként számolta el.</w:t>
      </w:r>
    </w:p>
    <w:p>
      <w:pPr>
        <w:jc w:val="left"/>
      </w:pPr>
      <w:r>
        <w:rPr>
          <w:vertAlign w:val="baseline"/>
        </w:rPr>
        <w:t xml:space="preserve">  </w:t>
      </w:r>
    </w:p>
    <w:p>
      <w:pPr>
        <w:jc w:val="both"/>
      </w:pPr>
      <w:r>
        <w:rPr>
          <w:vertAlign w:val="baseline"/>
        </w:rPr>
        <w:t xml:space="preserve">[5]</w:t>
      </w:r>
      <w:r>
        <w:rPr>
          <w:vertAlign w:val="baseline"/>
        </w:rPr>
        <w:t xml:space="preserve">           </w:t>
      </w:r>
      <w:r>
        <w:rPr>
          <w:vertAlign w:val="baseline"/>
        </w:rPr>
        <w:t xml:space="preserve">A holland adójogi jogszabályoknak megfelelően a </w:t>
      </w:r>
      <w:r>
        <w:rPr>
          <w:vertAlign w:val="baseline"/>
        </w:rPr>
        <w:t xml:space="preserve">BV</w:t>
      </w:r>
      <w:r>
        <w:rPr>
          <w:vertAlign w:val="baseline"/>
        </w:rPr>
        <w:t xml:space="preserve"> adóbevallásában nem szerepeltette adóköteles kötelezettségként a kamatjövedelmet, az objektív, ún. részvételi mentesség </w:t>
      </w:r>
      <w:r>
        <w:rPr>
          <w:i/>
          <w:vertAlign w:val="baseline"/>
        </w:rPr>
        <w:t xml:space="preserve">(participation exemption) </w:t>
      </w:r>
      <w:r>
        <w:rPr>
          <w:vertAlign w:val="baseline"/>
        </w:rPr>
        <w:t xml:space="preserve">alá esett.</w:t>
      </w:r>
    </w:p>
    <w:p>
      <w:pPr>
        <w:jc w:val="left"/>
      </w:pPr>
      <w:r>
        <w:rPr>
          <w:vertAlign w:val="baseline"/>
        </w:rPr>
        <w:t xml:space="preserve">  </w:t>
      </w:r>
    </w:p>
    <w:p>
      <w:pPr>
        <w:jc w:val="both"/>
      </w:pPr>
      <w:r>
        <w:rPr>
          <w:vertAlign w:val="baseline"/>
        </w:rPr>
        <w:t xml:space="preserve">[6]</w:t>
      </w:r>
      <w:r>
        <w:rPr>
          <w:vertAlign w:val="baseline"/>
        </w:rPr>
        <w:t xml:space="preserve">           </w:t>
      </w:r>
      <w:r>
        <w:rPr>
          <w:vertAlign w:val="baseline"/>
        </w:rPr>
        <w:t xml:space="preserve">A </w:t>
      </w:r>
      <w:r>
        <w:rPr>
          <w:vertAlign w:val="baseline"/>
        </w:rPr>
        <w:t xml:space="preserve">Nemzeti Adó</w:t>
      </w:r>
      <w:r>
        <w:rPr>
          <w:vertAlign w:val="baseline"/>
        </w:rPr>
        <w:t xml:space="preserve">- és </w:t>
      </w:r>
      <w:r>
        <w:rPr>
          <w:vertAlign w:val="baseline"/>
        </w:rPr>
        <w:t xml:space="preserve">Vámhivatal</w:t>
      </w:r>
      <w:r>
        <w:rPr>
          <w:vertAlign w:val="baseline"/>
        </w:rPr>
        <w:t xml:space="preserve"> (NAV) </w:t>
      </w:r>
      <w:r>
        <w:rPr>
          <w:vertAlign w:val="baseline"/>
        </w:rPr>
        <w:t xml:space="preserve">Kiemelt Adó</w:t>
      </w:r>
      <w:r>
        <w:rPr>
          <w:vertAlign w:val="baseline"/>
        </w:rPr>
        <w:t xml:space="preserve">- és </w:t>
      </w:r>
      <w:r>
        <w:rPr>
          <w:vertAlign w:val="baseline"/>
        </w:rPr>
        <w:t xml:space="preserve">Vámigazgatósága</w:t>
      </w:r>
      <w:r>
        <w:rPr>
          <w:vertAlign w:val="baseline"/>
        </w:rPr>
        <w:t xml:space="preserve"> (a továbbiakban: elsőfokú hatóság) - új eljárás keretében - a </w:t>
      </w:r>
      <w:r>
        <w:rPr>
          <w:vertAlign w:val="baseline"/>
        </w:rPr>
        <w:t xml:space="preserve">2011-2012.</w:t>
      </w:r>
      <w:r>
        <w:rPr>
          <w:vertAlign w:val="baseline"/>
        </w:rPr>
        <w:t xml:space="preserve"> évekre vonatkozóan társasági adó (tao) adónemben lefolytatott bevallások utólagos vizsgálatára irányuló ellenőrzés alapján a 2018. január 17-én kelt </w:t>
      </w:r>
      <w:r>
        <w:rPr>
          <w:vertAlign w:val="baseline"/>
        </w:rPr>
        <w:t xml:space="preserve">2141224582</w:t>
      </w:r>
      <w:r>
        <w:rPr>
          <w:vertAlign w:val="baseline"/>
        </w:rPr>
        <w:t xml:space="preserve"> számú határozatával (a továbbiakban: elsőfokú határozat) a felperes terhére </w:t>
      </w:r>
      <w:r>
        <w:rPr>
          <w:vertAlign w:val="baseline"/>
        </w:rPr>
        <w:t xml:space="preserve">127.514.000</w:t>
      </w:r>
      <w:r>
        <w:rPr>
          <w:vertAlign w:val="baseline"/>
        </w:rPr>
        <w:t xml:space="preserve"> </w:t>
      </w:r>
      <w:r>
        <w:rPr>
          <w:vertAlign w:val="baseline"/>
        </w:rPr>
        <w:t xml:space="preserve">Ft</w:t>
      </w:r>
      <w:r>
        <w:rPr>
          <w:vertAlign w:val="baseline"/>
        </w:rPr>
        <w:t xml:space="preserve"> adókülönbözetet állapított meg, amelyből </w:t>
      </w:r>
      <w:r>
        <w:rPr>
          <w:vertAlign w:val="baseline"/>
        </w:rPr>
        <w:t xml:space="preserve">88.014.000</w:t>
      </w:r>
      <w:r>
        <w:rPr>
          <w:vertAlign w:val="baseline"/>
        </w:rPr>
        <w:t xml:space="preserve"> </w:t>
      </w:r>
      <w:r>
        <w:rPr>
          <w:vertAlign w:val="baseline"/>
        </w:rPr>
        <w:t xml:space="preserve">Ft</w:t>
      </w:r>
      <w:r>
        <w:rPr>
          <w:vertAlign w:val="baseline"/>
        </w:rPr>
        <w:t xml:space="preserve">-ot adóhiánynak minősített, kötelezte a felperest az adóhiány, </w:t>
      </w:r>
      <w:r>
        <w:rPr>
          <w:vertAlign w:val="baseline"/>
        </w:rPr>
        <w:t xml:space="preserve">43.419.000</w:t>
      </w:r>
      <w:r>
        <w:rPr>
          <w:vertAlign w:val="baseline"/>
        </w:rPr>
        <w:t xml:space="preserve"> </w:t>
      </w:r>
      <w:r>
        <w:rPr>
          <w:vertAlign w:val="baseline"/>
        </w:rPr>
        <w:t xml:space="preserve">Ft</w:t>
      </w:r>
      <w:r>
        <w:rPr>
          <w:vertAlign w:val="baseline"/>
        </w:rPr>
        <w:t xml:space="preserve"> adóbírság és </w:t>
      </w:r>
      <w:r>
        <w:rPr>
          <w:vertAlign w:val="baseline"/>
        </w:rPr>
        <w:t xml:space="preserve">5.979.000</w:t>
      </w:r>
      <w:r>
        <w:rPr>
          <w:vertAlign w:val="baseline"/>
        </w:rPr>
        <w:t xml:space="preserve"> </w:t>
      </w:r>
      <w:r>
        <w:rPr>
          <w:vertAlign w:val="baseline"/>
        </w:rPr>
        <w:t xml:space="preserve">Ft</w:t>
      </w:r>
      <w:r>
        <w:rPr>
          <w:vertAlign w:val="baseline"/>
        </w:rPr>
        <w:t xml:space="preserve"> késedelmi pótlék megfizetésére.</w:t>
      </w:r>
    </w:p>
    <w:p>
      <w:pPr>
        <w:jc w:val="left"/>
      </w:pPr>
      <w:r>
        <w:rPr>
          <w:vertAlign w:val="baseline"/>
        </w:rPr>
        <w:t xml:space="preserve">  </w:t>
      </w:r>
    </w:p>
    <w:p>
      <w:pPr>
        <w:jc w:val="both"/>
      </w:pPr>
      <w:r>
        <w:rPr>
          <w:vertAlign w:val="baseline"/>
        </w:rPr>
        <w:t xml:space="preserve">[7]</w:t>
      </w:r>
      <w:r>
        <w:rPr>
          <w:vertAlign w:val="baseline"/>
        </w:rPr>
        <w:t xml:space="preserve">           </w:t>
      </w:r>
      <w:r>
        <w:rPr>
          <w:vertAlign w:val="baseline"/>
        </w:rPr>
        <w:t xml:space="preserve">A felperes fellebbezése alapján eljárt alperes a 2018. június 7-én kelt </w:t>
      </w:r>
      <w:r>
        <w:rPr>
          <w:vertAlign w:val="baseline"/>
        </w:rPr>
        <w:t xml:space="preserve">2234179463</w:t>
      </w:r>
      <w:r>
        <w:rPr>
          <w:vertAlign w:val="baseline"/>
        </w:rPr>
        <w:t xml:space="preserve"> iktatószámú határozatával az elsőfokú határozatot helybenhagyta.</w:t>
      </w:r>
    </w:p>
    <w:p>
      <w:pPr>
        <w:jc w:val="left"/>
      </w:pPr>
      <w:r>
        <w:rPr>
          <w:vertAlign w:val="baseline"/>
        </w:rPr>
        <w:t xml:space="preserve">  </w:t>
      </w:r>
    </w:p>
    <w:p>
      <w:pPr>
        <w:jc w:val="both"/>
      </w:pPr>
      <w:r>
        <w:rPr>
          <w:vertAlign w:val="baseline"/>
        </w:rPr>
        <w:t xml:space="preserve">[8]</w:t>
      </w:r>
      <w:r>
        <w:rPr>
          <w:vertAlign w:val="baseline"/>
        </w:rPr>
        <w:t xml:space="preserve">           </w:t>
      </w:r>
      <w:r>
        <w:rPr>
          <w:vertAlign w:val="baseline"/>
        </w:rPr>
        <w:t xml:space="preserve">Határozatát</w:t>
      </w:r>
      <w:r>
        <w:rPr>
          <w:vertAlign w:val="baseline"/>
        </w:rPr>
        <w:t xml:space="preserve"> – a keresettel támadott körben - az adózás rendjéről szóló 2003. évi </w:t>
      </w:r>
      <w:r>
        <w:rPr>
          <w:vertAlign w:val="baseline"/>
        </w:rPr>
        <w:t xml:space="preserve">XCII.</w:t>
      </w:r>
      <w:r>
        <w:rPr>
          <w:vertAlign w:val="baseline"/>
        </w:rPr>
        <w:t xml:space="preserve"> törvény (a továbbiakban: </w:t>
      </w:r>
      <w:r>
        <w:rPr>
          <w:vertAlign w:val="baseline"/>
        </w:rPr>
        <w:t xml:space="preserve">Art.</w:t>
      </w:r>
      <w:r>
        <w:rPr>
          <w:vertAlign w:val="baseline"/>
        </w:rPr>
        <w:t xml:space="preserve">) 1. § (7) bekezdésére, 2. § (1) - (2) bekezdéseire, 6/C. § (3) - (4) bekezdéseire, 165. § (1) - (3) bekezdéseire, 170. § (1) - (2) bekezdéseire, 171. § (1) bekezdésére, 178. § 3. pontjára, valamint a társasági adóról és osztalékadóról szóló 1996. évi </w:t>
      </w:r>
      <w:r>
        <w:rPr>
          <w:vertAlign w:val="baseline"/>
        </w:rPr>
        <w:t xml:space="preserve">LXXXI.</w:t>
      </w:r>
      <w:r>
        <w:rPr>
          <w:vertAlign w:val="baseline"/>
        </w:rPr>
        <w:t xml:space="preserve"> törvény (a továbbiakban: </w:t>
      </w:r>
      <w:r>
        <w:rPr>
          <w:vertAlign w:val="baseline"/>
        </w:rPr>
        <w:t xml:space="preserve">Tao.</w:t>
      </w:r>
      <w:r>
        <w:rPr>
          <w:vertAlign w:val="baseline"/>
        </w:rPr>
        <w:t xml:space="preserve"> tv.) 1. § (2), (4) bekezdéseire és a 8. § (1) bekezdés d) pontjára, a </w:t>
      </w:r>
      <w:r>
        <w:rPr>
          <w:vertAlign w:val="baseline"/>
        </w:rPr>
        <w:t xml:space="preserve">Magyar Népköztársaság</w:t>
      </w:r>
      <w:r>
        <w:rPr>
          <w:vertAlign w:val="baseline"/>
        </w:rPr>
        <w:t xml:space="preserve"> Kormánya és a </w:t>
      </w:r>
      <w:r>
        <w:rPr>
          <w:vertAlign w:val="baseline"/>
        </w:rPr>
        <w:t xml:space="preserve">Holland Királyság Kormánya</w:t>
      </w:r>
      <w:r>
        <w:rPr>
          <w:vertAlign w:val="baseline"/>
        </w:rPr>
        <w:t xml:space="preserve"> között </w:t>
      </w:r>
      <w:r>
        <w:rPr>
          <w:vertAlign w:val="baseline"/>
        </w:rPr>
        <w:t xml:space="preserve">Hágában</w:t>
      </w:r>
      <w:r>
        <w:rPr>
          <w:vertAlign w:val="baseline"/>
        </w:rPr>
        <w:t xml:space="preserve"> 1986. június 5. napján aláírt, a jövedelem- és a vagyonadók területén a kettős adóztatás elkerüléséről és az adóztatás kijátszásának megakadályozásáról szóló egyezmény kihirdetéséről szóló </w:t>
      </w:r>
      <w:r>
        <w:rPr>
          <w:vertAlign w:val="baseline"/>
        </w:rPr>
        <w:t xml:space="preserve">10/1988</w:t>
      </w:r>
      <w:r>
        <w:rPr>
          <w:vertAlign w:val="baseline"/>
        </w:rPr>
        <w:t xml:space="preserve">. (III. 10.) </w:t>
      </w:r>
      <w:r>
        <w:rPr>
          <w:vertAlign w:val="baseline"/>
        </w:rPr>
        <w:t xml:space="preserve">MT</w:t>
      </w:r>
      <w:r>
        <w:rPr>
          <w:vertAlign w:val="baseline"/>
        </w:rPr>
        <w:t xml:space="preserve"> rendelet (a továbbiakban: </w:t>
      </w:r>
      <w:r>
        <w:rPr>
          <w:vertAlign w:val="baseline"/>
        </w:rPr>
        <w:t xml:space="preserve">Egyezmény</w:t>
      </w:r>
      <w:r>
        <w:rPr>
          <w:vertAlign w:val="baseline"/>
        </w:rPr>
        <w:t xml:space="preserve">) 10. cikk 5. bekezdésére, 11. cikk 3. bekezdésére, az </w:t>
      </w:r>
      <w:r>
        <w:rPr>
          <w:vertAlign w:val="baseline"/>
        </w:rPr>
        <w:t xml:space="preserve">Gazdasági Együttműködési</w:t>
      </w:r>
      <w:r>
        <w:rPr>
          <w:vertAlign w:val="baseline"/>
        </w:rPr>
        <w:t xml:space="preserve"> és </w:t>
      </w:r>
      <w:r>
        <w:rPr>
          <w:vertAlign w:val="baseline"/>
        </w:rPr>
        <w:t xml:space="preserve">Fejlesztési Szervezet</w:t>
      </w:r>
      <w:r>
        <w:rPr>
          <w:vertAlign w:val="baseline"/>
        </w:rPr>
        <w:t xml:space="preserve"> (OECD) által kidolgozott, a jövedelem és a vagyon adóztatásáról szóló modellegyezmény (a továbbiakban: </w:t>
      </w:r>
      <w:r>
        <w:rPr>
          <w:vertAlign w:val="baseline"/>
        </w:rPr>
        <w:t xml:space="preserve">OECD Modellegyezmény</w:t>
      </w:r>
      <w:r>
        <w:rPr>
          <w:vertAlign w:val="baseline"/>
        </w:rPr>
        <w:t xml:space="preserve">) és az </w:t>
      </w:r>
      <w:r>
        <w:rPr>
          <w:vertAlign w:val="baseline"/>
        </w:rPr>
        <w:t xml:space="preserve">OECD</w:t>
      </w:r>
      <w:r>
        <w:rPr>
          <w:vertAlign w:val="baseline"/>
        </w:rPr>
        <w:t xml:space="preserve"> „Transzferár </w:t>
      </w:r>
      <w:r>
        <w:rPr>
          <w:vertAlign w:val="baseline"/>
        </w:rPr>
        <w:t xml:space="preserve">Irányelvek</w:t>
      </w:r>
      <w:r>
        <w:rPr>
          <w:vertAlign w:val="baseline"/>
        </w:rPr>
        <w:t xml:space="preserve"> a multinacionális vállalkozások és az adóhatóság számára” (a továbbiakban: </w:t>
      </w:r>
      <w:r>
        <w:rPr>
          <w:vertAlign w:val="baseline"/>
        </w:rPr>
        <w:t xml:space="preserve">OECD Transzferár Irányelvek</w:t>
      </w:r>
      <w:r>
        <w:rPr>
          <w:vertAlign w:val="baseline"/>
        </w:rPr>
        <w:t xml:space="preserve">) 1.65 pontjára, az </w:t>
      </w:r>
      <w:r>
        <w:rPr>
          <w:vertAlign w:val="baseline"/>
        </w:rPr>
        <w:t xml:space="preserve">Alkotmánybíróság</w:t>
      </w:r>
      <w:r>
        <w:rPr>
          <w:vertAlign w:val="baseline"/>
        </w:rPr>
        <w:t xml:space="preserve"> </w:t>
      </w:r>
      <w:r>
        <w:rPr>
          <w:vertAlign w:val="baseline"/>
        </w:rPr>
        <w:t xml:space="preserve">724/B/1994</w:t>
      </w:r>
      <w:r>
        <w:rPr>
          <w:vertAlign w:val="baseline"/>
        </w:rPr>
        <w:t xml:space="preserve"> </w:t>
      </w:r>
      <w:r>
        <w:rPr>
          <w:vertAlign w:val="baseline"/>
        </w:rPr>
        <w:t xml:space="preserve">AB</w:t>
      </w:r>
      <w:r>
        <w:rPr>
          <w:vertAlign w:val="baseline"/>
        </w:rPr>
        <w:t xml:space="preserve"> és </w:t>
      </w:r>
      <w:r>
        <w:rPr>
          <w:vertAlign w:val="baseline"/>
        </w:rPr>
        <w:t xml:space="preserve">219/B/2002</w:t>
      </w:r>
      <w:r>
        <w:rPr>
          <w:vertAlign w:val="baseline"/>
        </w:rPr>
        <w:t xml:space="preserve"> </w:t>
      </w:r>
      <w:r>
        <w:rPr>
          <w:vertAlign w:val="baseline"/>
        </w:rPr>
        <w:t xml:space="preserve">AB,</w:t>
      </w:r>
      <w:r>
        <w:rPr>
          <w:vertAlign w:val="baseline"/>
        </w:rPr>
        <w:t xml:space="preserve"> illetve az </w:t>
      </w:r>
      <w:r>
        <w:rPr>
          <w:vertAlign w:val="baseline"/>
        </w:rPr>
        <w:t xml:space="preserve">Európai Unió Bírósága</w:t>
      </w:r>
      <w:r>
        <w:rPr>
          <w:vertAlign w:val="baseline"/>
        </w:rPr>
        <w:t xml:space="preserve"> (EUB) </w:t>
      </w:r>
      <w:r>
        <w:rPr>
          <w:vertAlign w:val="baseline"/>
        </w:rPr>
        <w:t xml:space="preserve">C-425/06</w:t>
      </w:r>
      <w:r>
        <w:rPr>
          <w:vertAlign w:val="baseline"/>
        </w:rPr>
        <w:t xml:space="preserve"> (Halifax) ügyben hozott határozataira és a különböző tagállambeli társult vállalkozások közötti kamat- és jogdíjfizetések közös adózási rendszeréről szóló 2003. június 3-i </w:t>
      </w:r>
      <w:r>
        <w:rPr>
          <w:vertAlign w:val="baseline"/>
        </w:rPr>
        <w:t xml:space="preserve">2003/49/</w:t>
      </w:r>
      <w:r>
        <w:rPr>
          <w:vertAlign w:val="baseline"/>
        </w:rPr>
        <w:t xml:space="preserve">EK irányelvre (a továbbiakban: </w:t>
      </w:r>
      <w:r>
        <w:rPr>
          <w:vertAlign w:val="baseline"/>
        </w:rPr>
        <w:t xml:space="preserve">Kamat</w:t>
      </w:r>
      <w:r>
        <w:rPr>
          <w:vertAlign w:val="baseline"/>
        </w:rPr>
        <w:t xml:space="preserve">-jogdíj irányelv)</w:t>
      </w:r>
      <w:r>
        <w:rPr>
          <w:vertAlign w:val="baseline"/>
        </w:rPr>
        <w:t xml:space="preserve">  </w:t>
      </w:r>
      <w:r>
        <w:rPr>
          <w:vertAlign w:val="baseline"/>
        </w:rPr>
        <w:t xml:space="preserve">alapította.</w:t>
      </w:r>
    </w:p>
    <w:p>
      <w:pPr>
        <w:jc w:val="left"/>
      </w:pPr>
      <w:r>
        <w:rPr>
          <w:vertAlign w:val="baseline"/>
        </w:rPr>
        <w:t xml:space="preserve">  </w:t>
      </w:r>
    </w:p>
    <w:p>
      <w:pPr>
        <w:jc w:val="both"/>
      </w:pPr>
      <w:r>
        <w:rPr>
          <w:vertAlign w:val="baseline"/>
        </w:rPr>
        <w:t xml:space="preserve">[9]</w:t>
      </w:r>
      <w:r>
        <w:rPr>
          <w:vertAlign w:val="baseline"/>
        </w:rPr>
        <w:t xml:space="preserve">           </w:t>
      </w:r>
      <w:r>
        <w:rPr>
          <w:vertAlign w:val="baseline"/>
        </w:rPr>
        <w:t xml:space="preserve">Indokolása</w:t>
      </w:r>
      <w:r>
        <w:rPr>
          <w:vertAlign w:val="baseline"/>
        </w:rPr>
        <w:t xml:space="preserve"> szerint a vállalatcsoport egyik tagja által 50 évet meghaladó futamidőre, a szokásos kölcsönügyletektől eltérő kamatfizetési feltétellel és kamatfizetési késedelem esetén a kamat tőkésítésének mellőzésével kötött szerződés valós adójogi tartalma szerint nem kölcsönnek, hanem tőkejuttatásnak minősül. Erre utal a minden más hitelezőhöz képest való hátrasoroltság, az adós üzleti eredményességétől függő kamatfizetés és a biztosíték mellőzése. A holland adóhatóság megerősítette, hogy </w:t>
      </w:r>
      <w:r>
        <w:rPr>
          <w:vertAlign w:val="baseline"/>
        </w:rPr>
        <w:t xml:space="preserve">Hollandiában</w:t>
      </w:r>
      <w:r>
        <w:rPr>
          <w:vertAlign w:val="baseline"/>
        </w:rPr>
        <w:t xml:space="preserve"> az ügylet informális tőkejuttatásnak, illetve a kölcsönadónak juttatott kamat „</w:t>
      </w:r>
      <w:r>
        <w:rPr>
          <w:i/>
          <w:vertAlign w:val="baseline"/>
        </w:rPr>
        <w:t xml:space="preserve">részvételi mentesség</w:t>
      </w:r>
      <w:r>
        <w:rPr>
          <w:vertAlign w:val="baseline"/>
        </w:rPr>
        <w:t xml:space="preserve">” címén adómentes jövedelemnek minősül.</w:t>
      </w:r>
    </w:p>
    <w:p>
      <w:pPr>
        <w:jc w:val="left"/>
      </w:pPr>
      <w:r>
        <w:rPr>
          <w:vertAlign w:val="baseline"/>
        </w:rPr>
        <w:t xml:space="preserve">  </w:t>
      </w:r>
    </w:p>
    <w:p>
      <w:pPr>
        <w:jc w:val="both"/>
      </w:pPr>
      <w:r>
        <w:rPr>
          <w:vertAlign w:val="baseline"/>
        </w:rPr>
        <w:t xml:space="preserve">[10]</w:t>
      </w:r>
      <w:r>
        <w:rPr>
          <w:vertAlign w:val="baseline"/>
        </w:rPr>
        <w:t xml:space="preserve">        </w:t>
      </w:r>
      <w:r>
        <w:rPr>
          <w:vertAlign w:val="baseline"/>
        </w:rPr>
        <w:t xml:space="preserve">Utalt</w:t>
      </w:r>
      <w:r>
        <w:rPr>
          <w:vertAlign w:val="baseline"/>
        </w:rPr>
        <w:t xml:space="preserve"> az </w:t>
      </w:r>
      <w:r>
        <w:rPr>
          <w:vertAlign w:val="baseline"/>
        </w:rPr>
        <w:t xml:space="preserve">Egyezmény</w:t>
      </w:r>
      <w:r>
        <w:rPr>
          <w:vertAlign w:val="baseline"/>
        </w:rPr>
        <w:t xml:space="preserve"> szerinti kettős adóztatás kijátszásának tilalmára: a 10. cikk (5) bekezdése és 11. cikk (3) bekezdése értelmében a </w:t>
      </w:r>
      <w:r>
        <w:rPr>
          <w:vertAlign w:val="baseline"/>
        </w:rPr>
        <w:t xml:space="preserve">BV</w:t>
      </w:r>
      <w:r>
        <w:rPr>
          <w:vertAlign w:val="baseline"/>
        </w:rPr>
        <w:t xml:space="preserve">-nek jogában állt </w:t>
      </w:r>
      <w:r>
        <w:rPr>
          <w:vertAlign w:val="baseline"/>
        </w:rPr>
        <w:t xml:space="preserve">Hollandiában</w:t>
      </w:r>
      <w:r>
        <w:rPr>
          <w:vertAlign w:val="baseline"/>
        </w:rPr>
        <w:t xml:space="preserve"> adóalapot nem növelve osztalék jellegű jövedelemként elszámolni a szerződés alapján kapott kamatot arra figyelemmel, hogy a kölcsön informális tőkejuttatás, azonban a fizetett kamat költségként való elszámolása „</w:t>
      </w:r>
      <w:r>
        <w:rPr>
          <w:i/>
          <w:vertAlign w:val="baseline"/>
        </w:rPr>
        <w:t xml:space="preserve">kettős nem adózáshoz</w:t>
      </w:r>
      <w:r>
        <w:rPr>
          <w:vertAlign w:val="baseline"/>
        </w:rPr>
        <w:t xml:space="preserve">” vezet. Álláspontja szerint a megfizetett kamattal a tao alapja nem csökkenthető, a felek szándéka az ügylettel adóelőny megvalósítására irányult, a felperes a tao alapját a holland partner tőkejuttatása után járó nyereségrészesedés összegével nem csökkentheti.</w:t>
      </w:r>
    </w:p>
    <w:p>
      <w:pPr>
        <w:jc w:val="left"/>
      </w:pPr>
      <w:r>
        <w:rPr>
          <w:vertAlign w:val="baseline"/>
        </w:rPr>
        <w:t xml:space="preserve">  </w:t>
      </w:r>
    </w:p>
    <w:p>
      <w:pPr>
        <w:jc w:val="both"/>
      </w:pPr>
      <w:r>
        <w:rPr>
          <w:b/>
          <w:vertAlign w:val="baseline"/>
        </w:rPr>
        <w:t xml:space="preserve">A kereseti kérelem és az alperes védekezése</w:t>
      </w:r>
    </w:p>
    <w:p>
      <w:pPr>
        <w:jc w:val="left"/>
      </w:pPr>
      <w:r>
        <w:rPr>
          <w:vertAlign w:val="baseline"/>
        </w:rPr>
        <w:t xml:space="preserve">  </w:t>
      </w:r>
    </w:p>
    <w:p>
      <w:pPr>
        <w:jc w:val="both"/>
      </w:pPr>
      <w:r>
        <w:rPr>
          <w:vertAlign w:val="baseline"/>
        </w:rPr>
        <w:t xml:space="preserve">[11]</w:t>
      </w:r>
      <w:r>
        <w:rPr>
          <w:vertAlign w:val="baseline"/>
        </w:rPr>
        <w:t xml:space="preserve">        </w:t>
      </w:r>
      <w:r>
        <w:rPr>
          <w:vertAlign w:val="baseline"/>
        </w:rPr>
        <w:t xml:space="preserve">A felperes keresetében az alperesi határozat kölcsönügylettel kapcsolatos részének megváltoztatását, a megállapítások törlését, másodlagosan e körben az elsőfokú határozatra kiterjedő megsemmisítését, az alperes új eljárásra kötelezését, harmadlagosan az adóbírság tárgyában a határozat megsemmisítését és az alperes új eljárásra kötelezését kérte.</w:t>
      </w:r>
    </w:p>
    <w:p>
      <w:pPr>
        <w:jc w:val="left"/>
      </w:pPr>
      <w:r>
        <w:rPr>
          <w:vertAlign w:val="baseline"/>
        </w:rPr>
        <w:t xml:space="preserve">  </w:t>
      </w:r>
    </w:p>
    <w:p>
      <w:pPr>
        <w:jc w:val="both"/>
      </w:pPr>
      <w:r>
        <w:rPr>
          <w:vertAlign w:val="baseline"/>
        </w:rPr>
        <w:t xml:space="preserve">[12]</w:t>
      </w:r>
      <w:r>
        <w:rPr>
          <w:vertAlign w:val="baseline"/>
        </w:rPr>
        <w:t xml:space="preserve">        </w:t>
      </w:r>
      <w:r>
        <w:rPr>
          <w:vertAlign w:val="baseline"/>
        </w:rPr>
        <w:t xml:space="preserve">Hangsúlyozta,</w:t>
      </w:r>
      <w:r>
        <w:rPr>
          <w:vertAlign w:val="baseline"/>
        </w:rPr>
        <w:t xml:space="preserve"> hogy a szerződés valódi tartalma kölcsön volt, rendeltetésszerűen alkalmazta a</w:t>
      </w:r>
    </w:p>
    <w:p>
      <w:pPr>
        <w:jc w:val="left"/>
      </w:pPr>
      <w:r>
        <w:rPr>
          <w:vertAlign w:val="baseline"/>
        </w:rPr>
        <w:t xml:space="preserve">  </w:t>
      </w:r>
    </w:p>
    <w:p>
      <w:pPr>
        <w:jc w:val="both"/>
      </w:pPr>
      <w:r>
        <w:rPr>
          <w:vertAlign w:val="baseline"/>
        </w:rPr>
        <w:t xml:space="preserve">kamatráfordítás elszámolására vonatkozó jogszabályi rendelkezéseket, és ennek jogszerűségét nem befolyásolják az </w:t>
      </w:r>
      <w:r>
        <w:rPr>
          <w:vertAlign w:val="baseline"/>
        </w:rPr>
        <w:t xml:space="preserve">Egyezmény,</w:t>
      </w:r>
      <w:r>
        <w:rPr>
          <w:vertAlign w:val="baseline"/>
        </w:rPr>
        <w:t xml:space="preserve"> illetve a </w:t>
      </w:r>
      <w:r>
        <w:rPr>
          <w:vertAlign w:val="baseline"/>
        </w:rPr>
        <w:t xml:space="preserve">Kamat</w:t>
      </w:r>
      <w:r>
        <w:rPr>
          <w:vertAlign w:val="baseline"/>
        </w:rPr>
        <w:t xml:space="preserve">-jogdíj irányelv előírásai.</w:t>
      </w:r>
    </w:p>
    <w:p>
      <w:pPr>
        <w:jc w:val="left"/>
      </w:pPr>
      <w:r>
        <w:rPr>
          <w:vertAlign w:val="baseline"/>
        </w:rPr>
        <w:t xml:space="preserve">  </w:t>
      </w:r>
    </w:p>
    <w:p>
      <w:pPr>
        <w:jc w:val="both"/>
      </w:pPr>
      <w:r>
        <w:rPr>
          <w:vertAlign w:val="baseline"/>
        </w:rPr>
        <w:t xml:space="preserve">[13]</w:t>
      </w:r>
      <w:r>
        <w:rPr>
          <w:vertAlign w:val="baseline"/>
        </w:rPr>
        <w:t xml:space="preserve">        </w:t>
      </w:r>
      <w:r>
        <w:rPr>
          <w:vertAlign w:val="baseline"/>
        </w:rPr>
        <w:t xml:space="preserve">Az alperes a védiratában a kereset elutasítását kérte a határozatában foglalt indokok alapján.</w:t>
      </w:r>
    </w:p>
    <w:p>
      <w:pPr>
        <w:jc w:val="left"/>
      </w:pPr>
      <w:r>
        <w:rPr>
          <w:vertAlign w:val="baseline"/>
        </w:rPr>
        <w:t xml:space="preserve">  </w:t>
      </w:r>
    </w:p>
    <w:p>
      <w:pPr>
        <w:jc w:val="both"/>
      </w:pPr>
      <w:r>
        <w:rPr>
          <w:vertAlign w:val="baseline"/>
        </w:rPr>
        <w:t xml:space="preserve">[14]</w:t>
      </w:r>
      <w:r>
        <w:rPr>
          <w:vertAlign w:val="baseline"/>
        </w:rPr>
        <w:t xml:space="preserve">        </w:t>
      </w:r>
      <w:r>
        <w:rPr>
          <w:vertAlign w:val="baseline"/>
        </w:rPr>
        <w:t xml:space="preserve">Az elsőfokú bíróság 2019. március 29. napján kelt </w:t>
      </w:r>
      <w:r>
        <w:rPr>
          <w:vertAlign w:val="baseline"/>
        </w:rPr>
        <w:t xml:space="preserve">7.K.33.552/2018/17</w:t>
      </w:r>
      <w:r>
        <w:rPr>
          <w:vertAlign w:val="baseline"/>
        </w:rPr>
        <w:t xml:space="preserve">. számú keresetet elutasító ítéletét a </w:t>
      </w:r>
      <w:r>
        <w:rPr>
          <w:vertAlign w:val="baseline"/>
        </w:rPr>
        <w:t xml:space="preserve">Kúria</w:t>
      </w:r>
      <w:r>
        <w:rPr>
          <w:vertAlign w:val="baseline"/>
        </w:rPr>
        <w:t xml:space="preserve"> a </w:t>
      </w:r>
      <w:r>
        <w:rPr>
          <w:vertAlign w:val="baseline"/>
        </w:rPr>
        <w:t xml:space="preserve">Kfv.I.35.350/2019/25</w:t>
      </w:r>
      <w:r>
        <w:rPr>
          <w:vertAlign w:val="baseline"/>
        </w:rPr>
        <w:t xml:space="preserve">. számú végzésével hatályon kívül helyezte és az elsőfokú bíróságot új eljárás lefolytatására utasította. Kifejtette, hogy a vizsgált időszakban még hatályba nem lépett</w:t>
      </w:r>
      <w:r>
        <w:rPr>
          <w:vertAlign w:val="baseline"/>
        </w:rPr>
        <w:t xml:space="preserve"> </w:t>
      </w:r>
      <w:r>
        <w:rPr>
          <w:vertAlign w:val="baseline"/>
        </w:rPr>
        <w:t xml:space="preserve">Art.</w:t>
      </w:r>
      <w:r>
        <w:rPr>
          <w:vertAlign w:val="baseline"/>
        </w:rPr>
        <w:t xml:space="preserve"> 2. § (2) bekezdésének alkalmazása jogszabálysértő, továbbá az elsőfokú bíróság az adóhatósági határozat törvényességi felülvizsgálatát érdemben nem végezte el. </w:t>
      </w:r>
      <w:r>
        <w:rPr>
          <w:vertAlign w:val="baseline"/>
        </w:rPr>
        <w:t xml:space="preserve">Az új eljárásra szóló utasítása szerint </w:t>
      </w:r>
      <w:r>
        <w:rPr>
          <w:vertAlign w:val="baseline"/>
        </w:rPr>
        <w:t xml:space="preserve">az elsőfokú bíróság köteles az alperes határozatának alapjául szolgáló bilaterális nemzetközi szerződés [az </w:t>
      </w:r>
      <w:r>
        <w:rPr>
          <w:vertAlign w:val="baseline"/>
        </w:rPr>
        <w:t xml:space="preserve">Egyezmény</w:t>
      </w:r>
      <w:r>
        <w:rPr>
          <w:vertAlign w:val="baseline"/>
        </w:rPr>
        <w:t xml:space="preserve">], multilaterális egyezmények [az </w:t>
      </w:r>
      <w:r>
        <w:rPr>
          <w:vertAlign w:val="baseline"/>
        </w:rPr>
        <w:t xml:space="preserve">OECD Transzferár Irányelvek,</w:t>
      </w:r>
      <w:r>
        <w:rPr>
          <w:vertAlign w:val="baseline"/>
        </w:rPr>
        <w:t xml:space="preserve"> az </w:t>
      </w:r>
      <w:r>
        <w:rPr>
          <w:vertAlign w:val="baseline"/>
        </w:rPr>
        <w:t xml:space="preserve">OECD Modellegyezmények</w:t>
      </w:r>
      <w:r>
        <w:rPr>
          <w:vertAlign w:val="baseline"/>
        </w:rPr>
        <w:t xml:space="preserve">], a kapcsolódó kommentárok, valamint az európai uniós irányelv</w:t>
      </w:r>
      <w:r>
        <w:rPr>
          <w:vertAlign w:val="baseline"/>
        </w:rPr>
        <w:t xml:space="preserve">  </w:t>
      </w:r>
      <w:r>
        <w:rPr>
          <w:vertAlign w:val="baseline"/>
        </w:rPr>
        <w:t xml:space="preserve">[Kamat-jogdíj irányelv] alkalmazásának lehetőségét megvizsgálni az adott joganyag kötelező jellege és alkalmazhatóságának lehetősége alapján. Ezt követően vizsgálandó, hogy a felperesre, illetve az adott ügyletre azok személyi, tárgyi hatálya kiterjed-e. A következő lépésben az adóhatóság által kifogásolt ügylet jellemzőit értékelve állapítandó meg, hogy a visszaélésszerű joggyakorlásra való hatósági hivatkozás </w:t>
      </w:r>
      <w:r>
        <w:rPr>
          <w:vertAlign w:val="baseline"/>
        </w:rPr>
        <w:t xml:space="preserve">[</w:t>
      </w:r>
      <w:r>
        <w:rPr>
          <w:vertAlign w:val="baseline"/>
        </w:rPr>
        <w:t xml:space="preserve">Art.</w:t>
      </w:r>
      <w:r>
        <w:rPr>
          <w:vertAlign w:val="baseline"/>
        </w:rPr>
        <w:t xml:space="preserve"> 2. § (1) bekezdés, </w:t>
      </w:r>
      <w:r>
        <w:rPr>
          <w:vertAlign w:val="baseline"/>
        </w:rPr>
        <w:t xml:space="preserve">Tao</w:t>
      </w:r>
      <w:r>
        <w:rPr>
          <w:vertAlign w:val="baseline"/>
        </w:rPr>
        <w:t xml:space="preserve"> tv. 1. § (2) bekezdés]</w:t>
      </w:r>
      <w:r>
        <w:rPr>
          <w:vertAlign w:val="baseline"/>
        </w:rPr>
        <w:t xml:space="preserve">, a szerződés adójogi átminősítése </w:t>
      </w:r>
      <w:r>
        <w:rPr>
          <w:vertAlign w:val="baseline"/>
        </w:rPr>
        <w:t xml:space="preserve">[</w:t>
      </w:r>
      <w:r>
        <w:rPr>
          <w:vertAlign w:val="baseline"/>
        </w:rPr>
        <w:t xml:space="preserve">Art.</w:t>
      </w:r>
      <w:r>
        <w:rPr>
          <w:vertAlign w:val="baseline"/>
        </w:rPr>
        <w:t xml:space="preserve"> 1. § (7) bekezdés, </w:t>
      </w:r>
      <w:r>
        <w:rPr>
          <w:vertAlign w:val="baseline"/>
        </w:rPr>
        <w:t xml:space="preserve">Tao</w:t>
      </w:r>
      <w:r>
        <w:rPr>
          <w:vertAlign w:val="baseline"/>
        </w:rPr>
        <w:t xml:space="preserve"> tv. 1. § (4) bekezdés]</w:t>
      </w:r>
      <w:r>
        <w:rPr>
          <w:vertAlign w:val="baseline"/>
        </w:rPr>
        <w:t xml:space="preserve">, és jogkövetkezményeinek levonása a keresettel támadott határozatban törvényes volt-e.</w:t>
      </w:r>
    </w:p>
    <w:p>
      <w:pPr>
        <w:jc w:val="left"/>
      </w:pPr>
      <w:r>
        <w:rPr>
          <w:vertAlign w:val="baseline"/>
        </w:rPr>
        <w:t xml:space="preserve">  </w:t>
      </w:r>
    </w:p>
    <w:p>
      <w:pPr>
        <w:jc w:val="both"/>
      </w:pPr>
      <w:r>
        <w:rPr>
          <w:b/>
          <w:vertAlign w:val="baseline"/>
        </w:rPr>
        <w:t xml:space="preserve">A jogerős ítélet</w:t>
      </w:r>
    </w:p>
    <w:p>
      <w:pPr>
        <w:jc w:val="left"/>
      </w:pPr>
      <w:r>
        <w:rPr>
          <w:vertAlign w:val="baseline"/>
        </w:rPr>
        <w:t xml:space="preserve">  </w:t>
      </w:r>
    </w:p>
    <w:p>
      <w:pPr>
        <w:jc w:val="both"/>
      </w:pPr>
      <w:r>
        <w:rPr>
          <w:vertAlign w:val="baseline"/>
        </w:rPr>
        <w:t xml:space="preserve">[15]</w:t>
      </w:r>
      <w:r>
        <w:rPr>
          <w:vertAlign w:val="baseline"/>
        </w:rPr>
        <w:t xml:space="preserve">        </w:t>
      </w:r>
      <w:r>
        <w:rPr>
          <w:vertAlign w:val="baseline"/>
        </w:rPr>
        <w:t xml:space="preserve">Az elsőfokú bíróság a megismételt eljárásban meghozott jogerős</w:t>
      </w:r>
      <w:r>
        <w:rPr>
          <w:vertAlign w:val="baseline"/>
        </w:rPr>
        <w:t xml:space="preserve"> ítéletével a felperes keresetét elutasította.</w:t>
      </w:r>
    </w:p>
    <w:p>
      <w:pPr>
        <w:jc w:val="left"/>
      </w:pPr>
      <w:r>
        <w:rPr>
          <w:vertAlign w:val="baseline"/>
        </w:rPr>
        <w:t xml:space="preserve">  </w:t>
      </w:r>
    </w:p>
    <w:p>
      <w:pPr>
        <w:jc w:val="both"/>
      </w:pPr>
      <w:r>
        <w:rPr>
          <w:vertAlign w:val="baseline"/>
        </w:rPr>
        <w:t xml:space="preserve">[16]</w:t>
      </w:r>
      <w:r>
        <w:rPr>
          <w:vertAlign w:val="baseline"/>
        </w:rPr>
        <w:t xml:space="preserve">        </w:t>
      </w:r>
      <w:r>
        <w:rPr>
          <w:vertAlign w:val="baseline"/>
        </w:rPr>
        <w:t xml:space="preserve">Megállapítása</w:t>
      </w:r>
      <w:r>
        <w:rPr>
          <w:vertAlign w:val="baseline"/>
        </w:rPr>
        <w:t xml:space="preserve"> szerint az </w:t>
      </w:r>
      <w:r>
        <w:rPr>
          <w:vertAlign w:val="baseline"/>
        </w:rPr>
        <w:t xml:space="preserve">Egyezmény</w:t>
      </w:r>
      <w:r>
        <w:rPr>
          <w:vertAlign w:val="baseline"/>
        </w:rPr>
        <w:t xml:space="preserve"> 1 - 2. cikke alapján annak alanyi és tárgyi hatálya kiterjed a perbeli ügyletre. A </w:t>
      </w:r>
      <w:r>
        <w:rPr>
          <w:vertAlign w:val="baseline"/>
        </w:rPr>
        <w:t xml:space="preserve">10. cikk (5) bekezdése és 11. cikk (3) bekezdése az osztaléknak minősíti a nyereségrészesedést biztosító követelésekből származó jövedelmet, a kamatjövedelmek köréből pedig tételesen kivonja az adós nyereségeiben való részesedésre jogosító követelésből adódó jövedelmet. A perbeli ügyletből származó jövedelem után </w:t>
      </w:r>
      <w:r>
        <w:rPr>
          <w:vertAlign w:val="baseline"/>
        </w:rPr>
        <w:t xml:space="preserve">Hollandiában</w:t>
      </w:r>
      <w:r>
        <w:rPr>
          <w:vertAlign w:val="baseline"/>
        </w:rPr>
        <w:t xml:space="preserve"> nem kellett adózni, a felperes a kamatot ráfordításként számolta el, ezáltal ún. „</w:t>
      </w:r>
      <w:r>
        <w:rPr>
          <w:i/>
          <w:vertAlign w:val="baseline"/>
        </w:rPr>
        <w:t xml:space="preserve">deduction/no inclusion</w:t>
      </w:r>
      <w:r>
        <w:rPr>
          <w:vertAlign w:val="baseline"/>
        </w:rPr>
        <w:t xml:space="preserve">” (levonás, be nem számítás), azaz kettős nem adózás helyzete állt elő. Hollandia az </w:t>
      </w:r>
      <w:r>
        <w:rPr>
          <w:vertAlign w:val="baseline"/>
        </w:rPr>
        <w:t xml:space="preserve">Egyezmény</w:t>
      </w:r>
      <w:r>
        <w:rPr>
          <w:vertAlign w:val="baseline"/>
        </w:rPr>
        <w:t xml:space="preserve"> alapján jogosult a </w:t>
      </w:r>
      <w:r>
        <w:rPr>
          <w:vertAlign w:val="baseline"/>
        </w:rPr>
        <w:t xml:space="preserve">Magyarországról</w:t>
      </w:r>
      <w:r>
        <w:rPr>
          <w:vertAlign w:val="baseline"/>
        </w:rPr>
        <w:t xml:space="preserve"> származó kamatjövedelmet adóztatás alá vonni, a magyar adóhatóság az ügylet holland adóhatóság által történt minősítésétől nem térhetett el.</w:t>
      </w:r>
    </w:p>
    <w:p>
      <w:pPr>
        <w:jc w:val="left"/>
      </w:pPr>
      <w:r>
        <w:rPr>
          <w:vertAlign w:val="baseline"/>
        </w:rPr>
        <w:t xml:space="preserve">  </w:t>
      </w:r>
    </w:p>
    <w:p>
      <w:pPr>
        <w:jc w:val="both"/>
      </w:pPr>
      <w:r>
        <w:rPr>
          <w:vertAlign w:val="baseline"/>
        </w:rPr>
        <w:t xml:space="preserve">[17]</w:t>
      </w:r>
      <w:r>
        <w:rPr>
          <w:vertAlign w:val="baseline"/>
        </w:rPr>
        <w:t xml:space="preserve">        </w:t>
      </w:r>
      <w:r>
        <w:rPr>
          <w:vertAlign w:val="baseline"/>
        </w:rPr>
        <w:t xml:space="preserve">Rögzítette,</w:t>
      </w:r>
      <w:r>
        <w:rPr>
          <w:vertAlign w:val="baseline"/>
        </w:rPr>
        <w:t xml:space="preserve"> hogy az alperes az </w:t>
      </w:r>
      <w:r>
        <w:rPr>
          <w:vertAlign w:val="baseline"/>
        </w:rPr>
        <w:t xml:space="preserve">OECD Transzferár Irányelveket</w:t>
      </w:r>
      <w:r>
        <w:rPr>
          <w:vertAlign w:val="baseline"/>
        </w:rPr>
        <w:t xml:space="preserve"> nem jogszabályként, hanem jogalkalmazási segédletekként alkalmazta az eljárása során. Az </w:t>
      </w:r>
      <w:r>
        <w:rPr>
          <w:vertAlign w:val="baseline"/>
        </w:rPr>
        <w:t xml:space="preserve">OECD Transzferár Irányelvek</w:t>
      </w:r>
      <w:r>
        <w:rPr>
          <w:vertAlign w:val="baseline"/>
        </w:rPr>
        <w:t xml:space="preserve"> 1.64., 1.65. és 1.66. pontja szerint, ha egy ügylet gazdasági formája eltér annak tartalmától, az adóhatóság elutasíthatja a vázolt ügylet megadott jellemzőit, és tartalma szerint ítélheti meg a kapcsolt vállalkozások közti szerződéses viszonyt. Amennyiben például egy kapcsolt vállalkozásba való befektetés kamatteherrel adott hitellel valósul meg, miközben, ha figyelembe vesszük hitelfelvevő társaság körülményeit - független körülmények között - a befektetésnek nem ilyen felépítése lenne várható. A vállalkozások jogbiztonságát szolgálja, hogy csak egyszeresen adózzanak, miközben a nemzetgazdaságok érdeke, hogy ne keletkezzenek olyan globális jövedelmek, amelyek az ún. hibrid struktúrák miatt egyik államban sem adóznak. Ebben az esetben helyénvaló, ha az adóhatóság az ügyletet a gazdasági tartalomnak megfelelően minősíti, ami azzal az eredménnyel járhat, hogy a hitelt tőkebefektetésként kezeli, ha az ügylet jellemzője inkább a felek közötti viszonyból származtatható, mint a szokásos kereskedelmi feltételekből, és elképzelhető, hogy az adóalany adóelkerülés vagy adócsökkentés céljából alakította azt így. Megállapítása szerint függetlenül attól, hogy a perbeli ügyletre az alperes transzferár-megállapítást nem tett, minősítésére az </w:t>
      </w:r>
      <w:r>
        <w:rPr>
          <w:vertAlign w:val="baseline"/>
        </w:rPr>
        <w:t xml:space="preserve">OECD Transzferár Irányelvekben</w:t>
      </w:r>
      <w:r>
        <w:rPr>
          <w:vertAlign w:val="baseline"/>
        </w:rPr>
        <w:t xml:space="preserve"> foglalt szempontok irányadóak. Az alperes a kapcsolt vállalkozások közötti ügylet kamatmértékét vitathatta volna, azonban ezt nem látta indokoltnak a teljes ügylet jogszerűtlenné minősítése miatt.</w:t>
      </w:r>
    </w:p>
    <w:p>
      <w:pPr>
        <w:jc w:val="left"/>
      </w:pPr>
      <w:r>
        <w:rPr>
          <w:vertAlign w:val="baseline"/>
        </w:rPr>
        <w:t xml:space="preserve">  </w:t>
      </w:r>
    </w:p>
    <w:p>
      <w:pPr>
        <w:jc w:val="both"/>
      </w:pPr>
      <w:r>
        <w:rPr>
          <w:vertAlign w:val="baseline"/>
        </w:rPr>
        <w:t xml:space="preserve">[18]</w:t>
      </w:r>
      <w:r>
        <w:rPr>
          <w:vertAlign w:val="baseline"/>
        </w:rPr>
        <w:t xml:space="preserve">        </w:t>
      </w:r>
      <w:r>
        <w:rPr>
          <w:vertAlign w:val="baseline"/>
        </w:rPr>
        <w:t xml:space="preserve">Kifejtette,</w:t>
      </w:r>
      <w:r>
        <w:rPr>
          <w:vertAlign w:val="baseline"/>
        </w:rPr>
        <w:t xml:space="preserve"> hogy a</w:t>
      </w:r>
      <w:r>
        <w:rPr>
          <w:vertAlign w:val="baseline"/>
        </w:rPr>
        <w:t xml:space="preserve">z </w:t>
      </w:r>
      <w:r>
        <w:rPr>
          <w:vertAlign w:val="baseline"/>
        </w:rPr>
        <w:t xml:space="preserve">OECD Modellegyezmény</w:t>
      </w:r>
      <w:r>
        <w:rPr>
          <w:vertAlign w:val="baseline"/>
        </w:rPr>
        <w:t xml:space="preserve"> és annak </w:t>
      </w:r>
      <w:r>
        <w:rPr>
          <w:vertAlign w:val="baseline"/>
        </w:rPr>
        <w:t xml:space="preserve">Kommentárja</w:t>
      </w:r>
      <w:r>
        <w:rPr>
          <w:vertAlign w:val="baseline"/>
        </w:rPr>
        <w:t xml:space="preserve"> szintén jogértelmezési segédletként szolgálnak, az </w:t>
      </w:r>
      <w:r>
        <w:rPr>
          <w:vertAlign w:val="baseline"/>
        </w:rPr>
        <w:t xml:space="preserve">Egyezményben</w:t>
      </w:r>
      <w:r>
        <w:rPr>
          <w:vertAlign w:val="baseline"/>
        </w:rPr>
        <w:t xml:space="preserve"> használt fogalmak és az egyes rendelkezések értelmezésének autentikus forrásai. A felperes a </w:t>
      </w:r>
      <w:r>
        <w:rPr>
          <w:vertAlign w:val="baseline"/>
        </w:rPr>
        <w:t xml:space="preserve">jegyzőkönyvre tett észrevételében hivatkozott az </w:t>
      </w:r>
      <w:r>
        <w:rPr>
          <w:vertAlign w:val="baseline"/>
        </w:rPr>
        <w:t xml:space="preserve">OECD Modellegyezményre,</w:t>
      </w:r>
      <w:r>
        <w:rPr>
          <w:vertAlign w:val="baseline"/>
        </w:rPr>
        <w:t xml:space="preserve"> az adóhatóság azzal kapcsolatban érvelését rögzítette, ezért úgy tekintette, hogy a felek között nem képezte vitat tárgyát annak perbeli ügyletre való</w:t>
      </w:r>
      <w:r>
        <w:rPr>
          <w:vertAlign w:val="baseline"/>
        </w:rPr>
        <w:t xml:space="preserve"> alkalmazhatósága.</w:t>
      </w:r>
    </w:p>
    <w:p>
      <w:pPr>
        <w:jc w:val="left"/>
      </w:pPr>
      <w:r>
        <w:rPr>
          <w:vertAlign w:val="baseline"/>
        </w:rPr>
        <w:t xml:space="preserve">  </w:t>
      </w:r>
    </w:p>
    <w:p>
      <w:pPr>
        <w:jc w:val="both"/>
      </w:pPr>
      <w:r>
        <w:rPr>
          <w:vertAlign w:val="baseline"/>
        </w:rPr>
        <w:t xml:space="preserve">[19]</w:t>
      </w:r>
      <w:r>
        <w:rPr>
          <w:vertAlign w:val="baseline"/>
        </w:rPr>
        <w:t xml:space="preserve">        </w:t>
      </w:r>
      <w:r>
        <w:rPr>
          <w:vertAlign w:val="baseline"/>
        </w:rPr>
        <w:t xml:space="preserve">A </w:t>
      </w:r>
      <w:r>
        <w:rPr>
          <w:vertAlign w:val="baseline"/>
        </w:rPr>
        <w:t xml:space="preserve">Kamat</w:t>
      </w:r>
      <w:r>
        <w:rPr>
          <w:vertAlign w:val="baseline"/>
        </w:rPr>
        <w:t xml:space="preserve">-jogdíj irányelv 1. cikke és 4. cikk (1) bekezdése alapján arra az álláspontra helyezkedett, hogy </w:t>
      </w:r>
      <w:r>
        <w:rPr>
          <w:vertAlign w:val="baseline"/>
        </w:rPr>
        <w:t xml:space="preserve">Magyarország</w:t>
      </w:r>
      <w:r>
        <w:rPr>
          <w:vertAlign w:val="baseline"/>
        </w:rPr>
        <w:t xml:space="preserve"> azzal a feltétellel mentesítette a kamatot a forrásadó alól, hogy az a haszonhúzó illetősége szerinti tagállamban adóköteles. Ha a kamat nem adózik a fogadó államban, a belföldi felek közötti kölcsönök hátrányos megkülönböztetést szenvednek el, és </w:t>
      </w:r>
      <w:r>
        <w:rPr>
          <w:vertAlign w:val="baseline"/>
        </w:rPr>
        <w:t xml:space="preserve">Magyarország</w:t>
      </w:r>
      <w:r>
        <w:rPr>
          <w:vertAlign w:val="baseline"/>
        </w:rPr>
        <w:t xml:space="preserve"> adóztatja a jövedelmet. A </w:t>
      </w:r>
      <w:r>
        <w:rPr>
          <w:vertAlign w:val="baseline"/>
        </w:rPr>
        <w:t xml:space="preserve">Kamat</w:t>
      </w:r>
      <w:r>
        <w:rPr>
          <w:vertAlign w:val="baseline"/>
        </w:rPr>
        <w:t xml:space="preserve">-jogdíj irányelv 4. cikke is lehetőséget biztosít a forrásadó-mentesítés alóli kivételre, ha megállapíthatóak az ott felsorolt feltételek.</w:t>
      </w:r>
    </w:p>
    <w:p>
      <w:pPr>
        <w:jc w:val="left"/>
      </w:pPr>
      <w:r>
        <w:rPr>
          <w:vertAlign w:val="baseline"/>
        </w:rPr>
        <w:t xml:space="preserve">  </w:t>
      </w:r>
    </w:p>
    <w:p>
      <w:pPr>
        <w:jc w:val="both"/>
      </w:pPr>
      <w:r>
        <w:rPr>
          <w:vertAlign w:val="baseline"/>
        </w:rPr>
        <w:t xml:space="preserve">[20]</w:t>
      </w:r>
      <w:r>
        <w:rPr>
          <w:vertAlign w:val="baseline"/>
        </w:rPr>
        <w:t xml:space="preserve">        </w:t>
      </w:r>
      <w:r>
        <w:rPr>
          <w:vertAlign w:val="baseline"/>
        </w:rPr>
        <w:t xml:space="preserve">Az Art.</w:t>
      </w:r>
      <w:r>
        <w:rPr>
          <w:vertAlign w:val="baseline"/>
        </w:rPr>
        <w:t xml:space="preserve"> 1. § (7) bekezdése, </w:t>
      </w:r>
      <w:r>
        <w:rPr>
          <w:vertAlign w:val="baseline"/>
        </w:rPr>
        <w:t xml:space="preserve">2. § (1) bekezdése, a</w:t>
      </w:r>
      <w:r>
        <w:rPr>
          <w:vertAlign w:val="baseline"/>
        </w:rPr>
        <w:t xml:space="preserve"> </w:t>
      </w:r>
      <w:r>
        <w:rPr>
          <w:vertAlign w:val="baseline"/>
        </w:rPr>
        <w:t xml:space="preserve">Tao.</w:t>
      </w:r>
      <w:r>
        <w:rPr>
          <w:vertAlign w:val="baseline"/>
        </w:rPr>
        <w:t xml:space="preserve"> tv. 1. § (2) és (4) bekezdése, </w:t>
      </w:r>
      <w:r>
        <w:rPr>
          <w:vertAlign w:val="baseline"/>
        </w:rPr>
        <w:t xml:space="preserve">8. § (1) bekezdés d) pontja, </w:t>
      </w:r>
      <w:r>
        <w:rPr>
          <w:vertAlign w:val="baseline"/>
        </w:rPr>
        <w:t xml:space="preserve">valamint </w:t>
      </w:r>
      <w:r>
        <w:rPr>
          <w:vertAlign w:val="baseline"/>
        </w:rPr>
        <w:t xml:space="preserve">a tartalom szerinti minősítésének elve alapján megállapította, hogy a perbeli szerződés nem kölcsön, hanem tőkejuttatás: a visszafizetés az adós üzleti eredményességétől függött, a felek nem kötöttek ki biztosítékot, a követelés hátrasorolt, a futamidő atipikus (50 év + 2 nap). Rögzítette, hogy a szerződés szerinti finanszírozás megvalósult, a rendeltetésellenesség a visszaélésszerűen elért adóelőnyben jelentkezett, és nem a finanszírozás színlelésében.</w:t>
      </w:r>
    </w:p>
    <w:p>
      <w:pPr>
        <w:jc w:val="left"/>
      </w:pPr>
      <w:r>
        <w:rPr>
          <w:vertAlign w:val="baseline"/>
        </w:rPr>
        <w:t xml:space="preserve">  </w:t>
      </w:r>
    </w:p>
    <w:p>
      <w:pPr>
        <w:jc w:val="both"/>
      </w:pPr>
      <w:r>
        <w:rPr>
          <w:vertAlign w:val="baseline"/>
        </w:rPr>
        <w:t xml:space="preserve">[21]</w:t>
      </w:r>
      <w:r>
        <w:rPr>
          <w:vertAlign w:val="baseline"/>
        </w:rPr>
        <w:t xml:space="preserve">        </w:t>
      </w:r>
      <w:r>
        <w:rPr>
          <w:vertAlign w:val="baseline"/>
        </w:rPr>
        <w:t xml:space="preserve">Megállapítása</w:t>
      </w:r>
      <w:r>
        <w:rPr>
          <w:vertAlign w:val="baseline"/>
        </w:rPr>
        <w:t xml:space="preserve"> szerint a </w:t>
      </w:r>
      <w:r>
        <w:rPr>
          <w:vertAlign w:val="baseline"/>
        </w:rPr>
        <w:t xml:space="preserve">BV</w:t>
      </w:r>
      <w:r>
        <w:rPr>
          <w:vertAlign w:val="baseline"/>
        </w:rPr>
        <w:t xml:space="preserve">-től felvett hitel kamatterhe többszöröse volt a kiváltott</w:t>
      </w:r>
      <w:r>
        <w:rPr>
          <w:vertAlign w:val="baseline"/>
        </w:rPr>
        <w:t xml:space="preserve">  </w:t>
      </w:r>
      <w:r>
        <w:rPr>
          <w:vertAlign w:val="baseline"/>
        </w:rPr>
        <w:t xml:space="preserve">hitelkamatnak, így az a felperes számára nem minősült kedvezőbbnek, a felperesnek nem volt önálló ügyletkötési szándéka, mivel ténylegesen egyetlen tagja, a </w:t>
      </w:r>
      <w:r>
        <w:rPr>
          <w:vertAlign w:val="baseline"/>
        </w:rPr>
        <w:t xml:space="preserve">Ltd.</w:t>
      </w:r>
      <w:r>
        <w:rPr>
          <w:vertAlign w:val="baseline"/>
        </w:rPr>
        <w:t xml:space="preserve"> döntött a szerződés megkötéséről, amelynek a társaságok összefonódása révén tudnia kellett az ügylet cégcsoporton belüli valódi céljáról. A felperes által teljesített kamatkifizetés tartalmi szempontból osztalékfizetésnek feleltethető meg: a felperes kizárólag nyereségessége esetén volt köteles fizetni a 11,32 % kamatot, a kifizetést meg kellett előznie a felperes harmadik személyek irányában fennálló kötelezettségei teljesítésének. Az osztalék kifizetéséről és a hitel felvételéről is a taggyűlés volt jogosult dönteni, amely szintén a tőkejuttatásként történő minősítést támasztja alá.</w:t>
      </w:r>
    </w:p>
    <w:p>
      <w:pPr>
        <w:jc w:val="left"/>
      </w:pPr>
      <w:r>
        <w:rPr>
          <w:vertAlign w:val="baseline"/>
        </w:rPr>
        <w:t xml:space="preserve">  </w:t>
      </w:r>
    </w:p>
    <w:p>
      <w:pPr>
        <w:jc w:val="both"/>
      </w:pPr>
      <w:r>
        <w:rPr>
          <w:vertAlign w:val="baseline"/>
        </w:rPr>
        <w:t xml:space="preserve">[22]</w:t>
      </w:r>
      <w:r>
        <w:rPr>
          <w:vertAlign w:val="baseline"/>
        </w:rPr>
        <w:t xml:space="preserve">        </w:t>
      </w:r>
      <w:r>
        <w:rPr>
          <w:vertAlign w:val="baseline"/>
        </w:rPr>
        <w:t xml:space="preserve">A Kúria </w:t>
      </w:r>
      <w:r>
        <w:rPr>
          <w:vertAlign w:val="baseline"/>
        </w:rPr>
        <w:t xml:space="preserve">Kfv.35.178/2013/7</w:t>
      </w:r>
      <w:r>
        <w:rPr>
          <w:vertAlign w:val="baseline"/>
        </w:rPr>
        <w:t xml:space="preserve">. számú ítéletére utalással kifejtette, hogy az </w:t>
      </w:r>
      <w:r>
        <w:rPr>
          <w:vertAlign w:val="baseline"/>
        </w:rPr>
        <w:t xml:space="preserve">Art.</w:t>
      </w:r>
      <w:r>
        <w:rPr>
          <w:vertAlign w:val="baseline"/>
        </w:rPr>
        <w:t xml:space="preserve"> 2 § (1) bekezdése és a </w:t>
      </w:r>
      <w:r>
        <w:rPr>
          <w:vertAlign w:val="baseline"/>
        </w:rPr>
        <w:t xml:space="preserve">Tao.</w:t>
      </w:r>
      <w:r>
        <w:rPr>
          <w:vertAlign w:val="baseline"/>
        </w:rPr>
        <w:t xml:space="preserve"> tv. 1. § (2) bekezdése szerint az adóelőny érvényesíthetősége nem csupán abban az esetben kizárt, ha a jogügylet célja kizárólagosan az adóelőny elérése, hanem akkor is, ha az döntően az előny elérését célozza.</w:t>
      </w:r>
    </w:p>
    <w:p>
      <w:pPr>
        <w:jc w:val="left"/>
      </w:pPr>
      <w:r>
        <w:rPr>
          <w:vertAlign w:val="baseline"/>
        </w:rPr>
        <w:t xml:space="preserve">  </w:t>
      </w:r>
    </w:p>
    <w:p>
      <w:pPr>
        <w:jc w:val="both"/>
      </w:pPr>
      <w:r>
        <w:rPr>
          <w:vertAlign w:val="baseline"/>
        </w:rPr>
        <w:t xml:space="preserve">[23]</w:t>
      </w:r>
      <w:r>
        <w:rPr>
          <w:vertAlign w:val="baseline"/>
        </w:rPr>
        <w:t xml:space="preserve">        </w:t>
      </w:r>
      <w:r>
        <w:rPr>
          <w:vertAlign w:val="baseline"/>
        </w:rPr>
        <w:t xml:space="preserve">Az EUB</w:t>
      </w:r>
      <w:r>
        <w:rPr>
          <w:vertAlign w:val="baseline"/>
        </w:rPr>
        <w:t xml:space="preserve"> felperes által hivatkozott C</w:t>
      </w:r>
      <w:r>
        <w:rPr>
          <w:vertAlign w:val="baseline"/>
        </w:rPr>
        <w:t xml:space="preserve">-648/15.</w:t>
      </w:r>
      <w:r>
        <w:rPr>
          <w:vertAlign w:val="baseline"/>
        </w:rPr>
        <w:t xml:space="preserve"> (Ausztria kontra </w:t>
      </w:r>
      <w:r>
        <w:rPr>
          <w:vertAlign w:val="baseline"/>
        </w:rPr>
        <w:t xml:space="preserve">Németország</w:t>
      </w:r>
      <w:r>
        <w:rPr>
          <w:vertAlign w:val="baseline"/>
        </w:rPr>
        <w:t xml:space="preserve">) ügyben hozott ítéletével összefüggésben hangsúlyozta, hogy az annak alapjául szolgáló ügyben szereplő szerződésben - a perbeli ügylettel ellentétben - nem volt olyan kikötés, hogy csak akkor kell kamatot fizetnie félnek, amennyiben nyeresége van. Ezzel szemben, a perbeli ügylet alapjául szolgáló szerződés 3.2. pontja alapján, a kamat csak pozitív adózás előtti eredmény esetén volt fizetendő, és fizetési kötelezettséget nem állapít meg a veszteséges évre.</w:t>
      </w:r>
    </w:p>
    <w:p>
      <w:pPr>
        <w:jc w:val="left"/>
      </w:pPr>
      <w:r>
        <w:rPr>
          <w:vertAlign w:val="baseline"/>
        </w:rPr>
        <w:t xml:space="preserve">  </w:t>
      </w:r>
    </w:p>
    <w:p>
      <w:pPr>
        <w:jc w:val="both"/>
      </w:pPr>
      <w:r>
        <w:rPr>
          <w:vertAlign w:val="baseline"/>
        </w:rPr>
        <w:t xml:space="preserve">[24]</w:t>
      </w:r>
      <w:r>
        <w:rPr>
          <w:vertAlign w:val="baseline"/>
        </w:rPr>
        <w:t xml:space="preserve">        </w:t>
      </w:r>
      <w:r>
        <w:rPr>
          <w:vertAlign w:val="baseline"/>
        </w:rPr>
        <w:t xml:space="preserve">Rögzítette,</w:t>
      </w:r>
      <w:r>
        <w:rPr>
          <w:vertAlign w:val="baseline"/>
        </w:rPr>
        <w:t xml:space="preserve"> hogy a felperes által csatolt holland feljegyzés csupán mint felperesi álláspont volt figyelembe vehető.</w:t>
      </w:r>
    </w:p>
    <w:p>
      <w:pPr>
        <w:jc w:val="left"/>
      </w:pPr>
      <w:r>
        <w:rPr>
          <w:vertAlign w:val="baseline"/>
        </w:rPr>
        <w:t xml:space="preserve">  </w:t>
      </w:r>
    </w:p>
    <w:p>
      <w:pPr>
        <w:jc w:val="both"/>
      </w:pPr>
      <w:r>
        <w:rPr>
          <w:vertAlign w:val="baseline"/>
        </w:rPr>
        <w:t xml:space="preserve">[25]</w:t>
      </w:r>
      <w:r>
        <w:rPr>
          <w:vertAlign w:val="baseline"/>
        </w:rPr>
        <w:t xml:space="preserve">        </w:t>
      </w:r>
      <w:r>
        <w:rPr>
          <w:vertAlign w:val="baseline"/>
        </w:rPr>
        <w:t xml:space="preserve">Végül</w:t>
      </w:r>
      <w:r>
        <w:rPr>
          <w:vertAlign w:val="baseline"/>
        </w:rPr>
        <w:t xml:space="preserve"> kifejtette, hogy az adóbírsággal kapcsolatos hatósági megállapítás nem jogszabálysértő.</w:t>
      </w:r>
    </w:p>
    <w:p>
      <w:pPr>
        <w:jc w:val="left"/>
      </w:pPr>
      <w:r>
        <w:rPr>
          <w:vertAlign w:val="baseline"/>
        </w:rPr>
        <w:t xml:space="preserve">  </w:t>
      </w:r>
    </w:p>
    <w:p>
      <w:pPr>
        <w:jc w:val="both"/>
      </w:pPr>
      <w:r>
        <w:rPr>
          <w:vertAlign w:val="baseline"/>
        </w:rPr>
        <w:t xml:space="preserve">[26]</w:t>
      </w:r>
      <w:r>
        <w:rPr>
          <w:vertAlign w:val="baseline"/>
        </w:rPr>
        <w:t xml:space="preserve">        </w:t>
      </w:r>
      <w:r>
        <w:rPr>
          <w:vertAlign w:val="baseline"/>
        </w:rPr>
        <w:t xml:space="preserve">Összefoglalóan</w:t>
      </w:r>
      <w:r>
        <w:rPr>
          <w:vertAlign w:val="baseline"/>
        </w:rPr>
        <w:t xml:space="preserve"> megállapította, hogy az alperes jogszabálysértően alapította a támadott határozatát az </w:t>
      </w:r>
      <w:r>
        <w:rPr>
          <w:vertAlign w:val="baseline"/>
        </w:rPr>
        <w:t xml:space="preserve">Art.</w:t>
      </w:r>
      <w:r>
        <w:rPr>
          <w:vertAlign w:val="baseline"/>
        </w:rPr>
        <w:t xml:space="preserve"> 2. § (2) bekezdésére, azonban ez a döntés törvényességét nem befolyásolta.</w:t>
      </w:r>
    </w:p>
    <w:p>
      <w:pPr>
        <w:jc w:val="left"/>
      </w:pPr>
      <w:r>
        <w:rPr>
          <w:vertAlign w:val="baseline"/>
        </w:rPr>
        <w:t xml:space="preserve">  </w:t>
      </w:r>
    </w:p>
    <w:p>
      <w:pPr>
        <w:jc w:val="both"/>
      </w:pPr>
      <w:r>
        <w:rPr>
          <w:b/>
          <w:vertAlign w:val="baseline"/>
        </w:rPr>
        <w:t xml:space="preserve">A felülvizsgálati kérelem és ellenkérelem</w:t>
      </w:r>
    </w:p>
    <w:p>
      <w:pPr>
        <w:jc w:val="left"/>
      </w:pPr>
      <w:r>
        <w:rPr>
          <w:vertAlign w:val="baseline"/>
        </w:rPr>
        <w:t xml:space="preserve">  </w:t>
      </w:r>
    </w:p>
    <w:p>
      <w:pPr>
        <w:jc w:val="both"/>
      </w:pPr>
      <w:r>
        <w:rPr>
          <w:vertAlign w:val="baseline"/>
        </w:rPr>
        <w:t xml:space="preserve">[27]</w:t>
      </w:r>
      <w:r>
        <w:rPr>
          <w:vertAlign w:val="baseline"/>
        </w:rPr>
        <w:t xml:space="preserve">        </w:t>
      </w:r>
      <w:r>
        <w:rPr>
          <w:vertAlign w:val="baseline"/>
        </w:rPr>
        <w:t xml:space="preserve">A felperes felülvizsgálati kérelmében a jogerős ítélet megváltoztatását és az alperesi határozat megsemmisítését, az adóhatóság új eljárásra kötelezését, másodlagosan a jogerős ítélet hatályon kívül helyezését és az elsőfokú bíróság új eljárás lefolytatására és új határozat hozatalára utasítását kérte.</w:t>
      </w:r>
    </w:p>
    <w:p>
      <w:pPr>
        <w:jc w:val="left"/>
      </w:pPr>
      <w:r>
        <w:rPr>
          <w:vertAlign w:val="baseline"/>
        </w:rPr>
        <w:t xml:space="preserve">  </w:t>
      </w:r>
    </w:p>
    <w:p>
      <w:pPr>
        <w:jc w:val="both"/>
      </w:pPr>
      <w:r>
        <w:rPr>
          <w:vertAlign w:val="baseline"/>
        </w:rPr>
        <w:t xml:space="preserve">[28]</w:t>
      </w:r>
      <w:r>
        <w:rPr>
          <w:vertAlign w:val="baseline"/>
        </w:rPr>
        <w:t xml:space="preserve">        </w:t>
      </w:r>
      <w:r>
        <w:rPr>
          <w:vertAlign w:val="baseline"/>
        </w:rPr>
        <w:t xml:space="preserve">Álláspontja</w:t>
      </w:r>
      <w:r>
        <w:rPr>
          <w:vertAlign w:val="baseline"/>
        </w:rPr>
        <w:t xml:space="preserve"> szerint az elsőfokú bíróság jogszabálysértően állapította meg a valódi tartalom és a rendeltetésszerű joggyakorlás sérelmét, továbbá tévesen alkalmazta a felperessel szemben az </w:t>
      </w:r>
      <w:r>
        <w:rPr>
          <w:vertAlign w:val="baseline"/>
        </w:rPr>
        <w:t xml:space="preserve">Egyezményt</w:t>
      </w:r>
      <w:r>
        <w:rPr>
          <w:vertAlign w:val="baseline"/>
        </w:rPr>
        <w:t xml:space="preserve"> és a </w:t>
      </w:r>
      <w:r>
        <w:rPr>
          <w:vertAlign w:val="baseline"/>
        </w:rPr>
        <w:t xml:space="preserve">Kamat</w:t>
      </w:r>
      <w:r>
        <w:rPr>
          <w:vertAlign w:val="baseline"/>
        </w:rPr>
        <w:t xml:space="preserve">-Jogdíj </w:t>
      </w:r>
      <w:r>
        <w:rPr>
          <w:vertAlign w:val="baseline"/>
        </w:rPr>
        <w:t xml:space="preserve">Irányelvet.</w:t>
      </w:r>
      <w:r>
        <w:rPr>
          <w:vertAlign w:val="baseline"/>
        </w:rPr>
        <w:t xml:space="preserve"> A jogerős ítélet sérti az </w:t>
      </w:r>
      <w:r>
        <w:rPr>
          <w:vertAlign w:val="baseline"/>
        </w:rPr>
        <w:t xml:space="preserve">Art.</w:t>
      </w:r>
      <w:r>
        <w:rPr>
          <w:vertAlign w:val="baseline"/>
        </w:rPr>
        <w:t xml:space="preserve"> 1. § (7) bekezdését, 2. § (1) és (3) bekezdését, 170. § (1) bekezdését, 171. § (1) bekezdését, valamint a </w:t>
      </w:r>
      <w:r>
        <w:rPr>
          <w:vertAlign w:val="baseline"/>
        </w:rPr>
        <w:t xml:space="preserve">Tao</w:t>
      </w:r>
      <w:r>
        <w:rPr>
          <w:vertAlign w:val="baseline"/>
        </w:rPr>
        <w:t xml:space="preserve"> tv. 1. § (2) és (4) bekezdését, 5. § (1) bekezdését, 4. § 21 pontját, 6. § (1) bekezdését, a közigazgatási perrendtartásról szóló 2017. évi I. törvény (a továbbiakban: </w:t>
      </w:r>
      <w:r>
        <w:rPr>
          <w:vertAlign w:val="baseline"/>
        </w:rPr>
        <w:t xml:space="preserve">Kp.</w:t>
      </w:r>
      <w:r>
        <w:rPr>
          <w:vertAlign w:val="baseline"/>
        </w:rPr>
        <w:t xml:space="preserve">) 78. § (2) bekezdését, 84. § (2) bekezdését, 85. § (1) bekezdését, (3) bekezdés b) pontját, 86. § (1) bekezdését, a polgári perrendtartásról szóló 2016. évi </w:t>
      </w:r>
      <w:r>
        <w:rPr>
          <w:vertAlign w:val="baseline"/>
        </w:rPr>
        <w:t xml:space="preserve">CXXX.</w:t>
      </w:r>
      <w:r>
        <w:rPr>
          <w:vertAlign w:val="baseline"/>
        </w:rPr>
        <w:t xml:space="preserve"> törvény (a továbbiakban: </w:t>
      </w:r>
      <w:r>
        <w:rPr>
          <w:vertAlign w:val="baseline"/>
        </w:rPr>
        <w:t xml:space="preserve">Pp.</w:t>
      </w:r>
      <w:r>
        <w:rPr>
          <w:vertAlign w:val="baseline"/>
        </w:rPr>
        <w:t xml:space="preserve">) 346. § (4) - (5) bekezdéseit, ellentétes az </w:t>
      </w:r>
      <w:r>
        <w:rPr>
          <w:vertAlign w:val="baseline"/>
        </w:rPr>
        <w:t xml:space="preserve">Egyezmény</w:t>
      </w:r>
      <w:r>
        <w:rPr>
          <w:vertAlign w:val="baseline"/>
        </w:rPr>
        <w:t xml:space="preserve"> 1. cikkével, 2. cikk (1) bekezdésével, 10. cikk (5) bekezdésével, 11. cikk (3) bekezdésével, továbbá a </w:t>
      </w:r>
      <w:r>
        <w:rPr>
          <w:vertAlign w:val="baseline"/>
        </w:rPr>
        <w:t xml:space="preserve">Kamat</w:t>
      </w:r>
      <w:r>
        <w:rPr>
          <w:vertAlign w:val="baseline"/>
        </w:rPr>
        <w:t xml:space="preserve">-jogdíj irányelv l. cikk(1) bekezdésével, 3. cikk b) pontjával és 4. cikkével.</w:t>
      </w:r>
    </w:p>
    <w:p>
      <w:pPr>
        <w:jc w:val="left"/>
      </w:pPr>
      <w:r>
        <w:rPr>
          <w:vertAlign w:val="baseline"/>
        </w:rPr>
        <w:t xml:space="preserve">  </w:t>
      </w:r>
    </w:p>
    <w:p>
      <w:pPr>
        <w:jc w:val="both"/>
      </w:pPr>
      <w:r>
        <w:rPr>
          <w:vertAlign w:val="baseline"/>
        </w:rPr>
        <w:t xml:space="preserve">[29]</w:t>
      </w:r>
      <w:r>
        <w:rPr>
          <w:vertAlign w:val="baseline"/>
        </w:rPr>
        <w:t xml:space="preserve">        </w:t>
      </w:r>
      <w:r>
        <w:rPr>
          <w:vertAlign w:val="baseline"/>
        </w:rPr>
        <w:t xml:space="preserve">Előadta,</w:t>
      </w:r>
      <w:r>
        <w:rPr>
          <w:vertAlign w:val="baseline"/>
        </w:rPr>
        <w:t xml:space="preserve"> hogy az elsőfokú bíróság jogszabálysértően állapította meg azt, hogy az ügylet valódi tartalma „</w:t>
      </w:r>
      <w:r>
        <w:rPr>
          <w:i/>
          <w:vertAlign w:val="baseline"/>
        </w:rPr>
        <w:t xml:space="preserve">informális tőkejuttatás</w:t>
      </w:r>
      <w:r>
        <w:rPr>
          <w:vertAlign w:val="baseline"/>
        </w:rPr>
        <w:t xml:space="preserve">”. Az ügylet alapján valós visszafizetési kötelezettsége állt fenn, amely kötelezettség alapvetően ellentétes a tőkejuttatás végleges és visszakövetelhetetlen jellegével. Az ügyletet a holland adójog is kölcsönnek tekinti, arra kizárólag az ún. „</w:t>
      </w:r>
      <w:r>
        <w:rPr>
          <w:i/>
          <w:vertAlign w:val="baseline"/>
        </w:rPr>
        <w:t xml:space="preserve">participation exemption</w:t>
      </w:r>
      <w:r>
        <w:rPr>
          <w:vertAlign w:val="baseline"/>
        </w:rPr>
        <w:t xml:space="preserve">” jogi fikció következtében az abból származó jövedelem adómentes.</w:t>
      </w:r>
    </w:p>
    <w:p>
      <w:pPr>
        <w:jc w:val="left"/>
      </w:pPr>
      <w:r>
        <w:rPr>
          <w:vertAlign w:val="baseline"/>
        </w:rPr>
        <w:t xml:space="preserve">  </w:t>
      </w:r>
    </w:p>
    <w:p>
      <w:pPr>
        <w:jc w:val="both"/>
      </w:pPr>
      <w:r>
        <w:rPr>
          <w:vertAlign w:val="baseline"/>
        </w:rPr>
        <w:t xml:space="preserve">[30]</w:t>
      </w:r>
      <w:r>
        <w:rPr>
          <w:vertAlign w:val="baseline"/>
        </w:rPr>
        <w:t xml:space="preserve">        </w:t>
      </w:r>
      <w:r>
        <w:rPr>
          <w:vertAlign w:val="baseline"/>
        </w:rPr>
        <w:t xml:space="preserve">Vitatta</w:t>
      </w:r>
      <w:r>
        <w:rPr>
          <w:vertAlign w:val="baseline"/>
        </w:rPr>
        <w:t xml:space="preserve"> a jogerős ítélet rendeltetésellenes joggyakorlás körében tett megállapításait. Egyrészt a kamatráfordítás elszámolására vonatkozó, a </w:t>
      </w:r>
      <w:r>
        <w:rPr>
          <w:vertAlign w:val="baseline"/>
        </w:rPr>
        <w:t xml:space="preserve">Tao</w:t>
      </w:r>
      <w:r>
        <w:rPr>
          <w:vertAlign w:val="baseline"/>
        </w:rPr>
        <w:t xml:space="preserve"> tv. 5. § (l) bekezdésében, 4. § 21. pontjában, 6. § (l) bekezdésében rögzített tételes jogi feltételek megvalósultak. Másrészt az, hogy egy ügylet ún. gazdasági kettős nem adózást eredményez, nem jelent rendeltetésellenes joggyakorlást. A magyar állam szuverén döntése alapján kettős nem adózáshoz vezető adómentességeket szabályozhat [pl. </w:t>
      </w:r>
      <w:r>
        <w:rPr>
          <w:vertAlign w:val="baseline"/>
        </w:rPr>
        <w:t xml:space="preserve">2009-2010-</w:t>
      </w:r>
      <w:r>
        <w:rPr>
          <w:vertAlign w:val="baseline"/>
        </w:rPr>
        <w:t xml:space="preserve">ben hatályos </w:t>
      </w:r>
      <w:r>
        <w:rPr>
          <w:vertAlign w:val="baseline"/>
        </w:rPr>
        <w:t xml:space="preserve">Tao</w:t>
      </w:r>
      <w:r>
        <w:rPr>
          <w:vertAlign w:val="baseline"/>
        </w:rPr>
        <w:t xml:space="preserve"> tv. 28. § (2) és (4) bekezdés, 7. § (1) bekezdés k) pont, 29/Q. § (3) bekezdés], amelyek mögött adópolitikai megfontolások állnak. A jelen esetben a holland jogalkotó szuverén döntése volt, hogy a </w:t>
      </w:r>
      <w:r>
        <w:rPr>
          <w:vertAlign w:val="baseline"/>
        </w:rPr>
        <w:t xml:space="preserve">BV</w:t>
      </w:r>
      <w:r>
        <w:rPr>
          <w:vertAlign w:val="baseline"/>
        </w:rPr>
        <w:t xml:space="preserve"> számára a kamatjövedelem tekintetében adómentességet biztosított. Nem állapítható meg rendeltetésellenes joggyakorlás, ha az ügyletnek valós gazdasági célja van (Kfv. </w:t>
      </w:r>
      <w:r>
        <w:rPr>
          <w:vertAlign w:val="baseline"/>
        </w:rPr>
        <w:t xml:space="preserve">35.720/2015/8</w:t>
      </w:r>
      <w:r>
        <w:rPr>
          <w:vertAlign w:val="baseline"/>
        </w:rPr>
        <w:t xml:space="preserve">.; </w:t>
      </w:r>
      <w:r>
        <w:rPr>
          <w:vertAlign w:val="baseline"/>
        </w:rPr>
        <w:t xml:space="preserve">Kfv.VI.35.575/2012/8</w:t>
      </w:r>
      <w:r>
        <w:rPr>
          <w:vertAlign w:val="baseline"/>
        </w:rPr>
        <w:t xml:space="preserve">.), és akkor sem, ha az ügylet nem okozott a költségvetésnek kárt (Kúria </w:t>
      </w:r>
      <w:r>
        <w:rPr>
          <w:vertAlign w:val="baseline"/>
        </w:rPr>
        <w:t xml:space="preserve">Kfv.35.110/2017/4</w:t>
      </w:r>
      <w:r>
        <w:rPr>
          <w:vertAlign w:val="baseline"/>
        </w:rPr>
        <w:t xml:space="preserve">., </w:t>
      </w:r>
      <w:r>
        <w:rPr>
          <w:vertAlign w:val="baseline"/>
        </w:rPr>
        <w:t xml:space="preserve">Kfv.1.35.720/2015/8</w:t>
      </w:r>
      <w:r>
        <w:rPr>
          <w:vertAlign w:val="baseline"/>
        </w:rPr>
        <w:t xml:space="preserve">., </w:t>
      </w:r>
      <w:r>
        <w:rPr>
          <w:vertAlign w:val="baseline"/>
        </w:rPr>
        <w:t xml:space="preserve">Kfv.1.35.275/2012/5</w:t>
      </w:r>
      <w:r>
        <w:rPr>
          <w:vertAlign w:val="baseline"/>
        </w:rPr>
        <w:t xml:space="preserve">., </w:t>
      </w:r>
      <w:r>
        <w:rPr>
          <w:vertAlign w:val="baseline"/>
        </w:rPr>
        <w:t xml:space="preserve">Kfv.1.35.594/2016</w:t>
      </w:r>
      <w:r>
        <w:rPr>
          <w:vertAlign w:val="baseline"/>
        </w:rPr>
        <w:t xml:space="preserve">., </w:t>
      </w:r>
      <w:r>
        <w:rPr>
          <w:vertAlign w:val="baseline"/>
        </w:rPr>
        <w:t xml:space="preserve">Kfv.1.35.028/2018</w:t>
      </w:r>
      <w:r>
        <w:rPr>
          <w:vertAlign w:val="baseline"/>
        </w:rPr>
        <w:t xml:space="preserve">., </w:t>
      </w:r>
      <w:r>
        <w:rPr>
          <w:vertAlign w:val="baseline"/>
        </w:rPr>
        <w:t xml:space="preserve">Kfv.35.098/2020/4</w:t>
      </w:r>
      <w:r>
        <w:rPr>
          <w:vertAlign w:val="baseline"/>
        </w:rPr>
        <w:t xml:space="preserve">., </w:t>
      </w:r>
      <w:r>
        <w:rPr>
          <w:vertAlign w:val="baseline"/>
        </w:rPr>
        <w:t xml:space="preserve">Kfv.35.404/2019/4</w:t>
      </w:r>
      <w:r>
        <w:rPr>
          <w:vertAlign w:val="baseline"/>
        </w:rPr>
        <w:t xml:space="preserve">.).</w:t>
      </w:r>
    </w:p>
    <w:p>
      <w:pPr>
        <w:jc w:val="left"/>
      </w:pPr>
      <w:r>
        <w:rPr>
          <w:vertAlign w:val="baseline"/>
        </w:rPr>
        <w:t xml:space="preserve">  </w:t>
      </w:r>
    </w:p>
    <w:p>
      <w:pPr>
        <w:jc w:val="both"/>
      </w:pPr>
      <w:r>
        <w:rPr>
          <w:vertAlign w:val="baseline"/>
        </w:rPr>
        <w:t xml:space="preserve">[31]</w:t>
      </w:r>
      <w:r>
        <w:rPr>
          <w:vertAlign w:val="baseline"/>
        </w:rPr>
        <w:t xml:space="preserve">        </w:t>
      </w:r>
      <w:r>
        <w:rPr>
          <w:vertAlign w:val="baseline"/>
        </w:rPr>
        <w:t xml:space="preserve">Esetében</w:t>
      </w:r>
      <w:r>
        <w:rPr>
          <w:vertAlign w:val="baseline"/>
        </w:rPr>
        <w:t xml:space="preserve"> valódi gazdasági racionalitása volt a kölcsönszerződés </w:t>
      </w:r>
      <w:r>
        <w:rPr>
          <w:vertAlign w:val="baseline"/>
        </w:rPr>
        <w:t xml:space="preserve">BV</w:t>
      </w:r>
      <w:r>
        <w:rPr>
          <w:vertAlign w:val="baseline"/>
        </w:rPr>
        <w:t xml:space="preserve">-vel való megkötésének: a felvett kölcsönből a </w:t>
      </w:r>
      <w:r>
        <w:rPr>
          <w:vertAlign w:val="baseline"/>
        </w:rPr>
        <w:t xml:space="preserve">Bankkal</w:t>
      </w:r>
      <w:r>
        <w:rPr>
          <w:vertAlign w:val="baseline"/>
        </w:rPr>
        <w:t xml:space="preserve"> szemben fennálló tartozását váltotta ki, a </w:t>
      </w:r>
      <w:r>
        <w:rPr>
          <w:vertAlign w:val="baseline"/>
        </w:rPr>
        <w:t xml:space="preserve">BV</w:t>
      </w:r>
      <w:r>
        <w:rPr>
          <w:vertAlign w:val="baseline"/>
        </w:rPr>
        <w:t xml:space="preserve"> által folyósított kölcsönnek kedvezőbb feltételei voltak, mint a korábbi banki kölcsönnek: a rövid lejáratú banki kölcsönt hosszú lejáratú kölcsön váltotta fel, ezáltal fizetőképességét hosszú távon fenntartotta, ugyanis a kapcsolt vállalkozással szembeni eladósodottság kisebb kockázatot jelentett, mint a független bankkal szembeni. A cégcsoportok esetében jogos gazdasági érdek fűződik ahhoz, hogy a finanszírozás a cégcsoporton belüli forrásból valósuljon meg, és ne külső banktól történjen, ahogy ezt a </w:t>
      </w:r>
      <w:r>
        <w:rPr>
          <w:vertAlign w:val="baseline"/>
        </w:rPr>
        <w:t xml:space="preserve">Kúria</w:t>
      </w:r>
      <w:r>
        <w:rPr>
          <w:vertAlign w:val="baseline"/>
        </w:rPr>
        <w:t xml:space="preserve"> több döntésében is elismerte (</w:t>
      </w:r>
      <w:r>
        <w:rPr>
          <w:vertAlign w:val="baseline"/>
        </w:rPr>
        <w:t xml:space="preserve">Kfv.I.35.720/2015/8</w:t>
      </w:r>
      <w:r>
        <w:rPr>
          <w:vertAlign w:val="baseline"/>
        </w:rPr>
        <w:t xml:space="preserve">., </w:t>
      </w:r>
      <w:r>
        <w:rPr>
          <w:vertAlign w:val="baseline"/>
        </w:rPr>
        <w:t xml:space="preserve">Kfv.I.35.417/2014</w:t>
      </w:r>
      <w:r>
        <w:rPr>
          <w:vertAlign w:val="baseline"/>
        </w:rPr>
        <w:t xml:space="preserve">.)</w:t>
      </w:r>
      <w:r>
        <w:rPr>
          <w:vertAlign w:val="baseline"/>
        </w:rPr>
        <w:t xml:space="preserve">. A kölcsönfelvételre azért került sor, mert szüksége volt a külső finanszírozásra, és nem azért, mert kamatráfordítás által adóelőnyt akart elérni. Adózási szempontból nem került kedvezőbb helyzetbe a kapcsolt vállalkozástól felvett kölcsön által, mint amilyen helyzetben akkor volt, amikor a kölcsönnel a tőle független </w:t>
      </w:r>
      <w:r>
        <w:rPr>
          <w:vertAlign w:val="baseline"/>
        </w:rPr>
        <w:t xml:space="preserve">Bank</w:t>
      </w:r>
      <w:r>
        <w:rPr>
          <w:vertAlign w:val="baseline"/>
        </w:rPr>
        <w:t xml:space="preserve"> felé tartozott. Szokásos piaci mértékű kamatot fizetett a </w:t>
      </w:r>
      <w:r>
        <w:rPr>
          <w:vertAlign w:val="baseline"/>
        </w:rPr>
        <w:t xml:space="preserve">BV</w:t>
      </w:r>
      <w:r>
        <w:rPr>
          <w:vertAlign w:val="baseline"/>
        </w:rPr>
        <w:t xml:space="preserve">-nek, amit transzferár-nyilvántartásában dokumentált és az alperes is elfogadott. A kölcsönt nem az anyavállalata biztosította, tehát a tőkebefektetés nem lett volna megfelelő forma a finanszírozáshoz, mert nem illeszkedett a felperes körülményeihez (például meg kellett volna változtatni a felperes tulajdonosi struktúráját), a tőkejuttatás tehát teljesen más gazdasági eredménnyel járt volna.</w:t>
      </w:r>
    </w:p>
    <w:p>
      <w:pPr>
        <w:jc w:val="left"/>
      </w:pPr>
      <w:r>
        <w:rPr>
          <w:vertAlign w:val="baseline"/>
        </w:rPr>
        <w:t xml:space="preserve">  </w:t>
      </w:r>
    </w:p>
    <w:p>
      <w:pPr>
        <w:jc w:val="both"/>
      </w:pPr>
      <w:r>
        <w:rPr>
          <w:vertAlign w:val="baseline"/>
        </w:rPr>
        <w:t xml:space="preserve">[32]</w:t>
      </w:r>
      <w:r>
        <w:rPr>
          <w:vertAlign w:val="baseline"/>
        </w:rPr>
        <w:t xml:space="preserve">        </w:t>
      </w:r>
      <w:r>
        <w:rPr>
          <w:vertAlign w:val="baseline"/>
        </w:rPr>
        <w:t xml:space="preserve">Az elsőfokú bíróság az </w:t>
      </w:r>
      <w:r>
        <w:rPr>
          <w:vertAlign w:val="baseline"/>
        </w:rPr>
        <w:t xml:space="preserve">Art.</w:t>
      </w:r>
      <w:r>
        <w:rPr>
          <w:vertAlign w:val="baseline"/>
        </w:rPr>
        <w:t xml:space="preserve"> 2. § (3) bekezdésében és a </w:t>
      </w:r>
      <w:r>
        <w:rPr>
          <w:vertAlign w:val="baseline"/>
        </w:rPr>
        <w:t xml:space="preserve">Transzferár Irányelvek</w:t>
      </w:r>
      <w:r>
        <w:rPr>
          <w:vertAlign w:val="baseline"/>
        </w:rPr>
        <w:t xml:space="preserve"> 1.65 pontjában megfogalmazott követelmény ellenére a rendeltetésszerű joggyakorlás esetén irányadó adófizetési kötelezettséget nem határozta meg, ezzel a jogerős ítélet nem felel meg a </w:t>
      </w:r>
      <w:r>
        <w:rPr>
          <w:vertAlign w:val="baseline"/>
        </w:rPr>
        <w:t xml:space="preserve">Kúria</w:t>
      </w:r>
      <w:r>
        <w:rPr>
          <w:vertAlign w:val="baseline"/>
        </w:rPr>
        <w:t xml:space="preserve"> joggyakorlatában kidolgozott elveknek (</w:t>
      </w:r>
      <w:r>
        <w:rPr>
          <w:vertAlign w:val="baseline"/>
        </w:rPr>
        <w:t xml:space="preserve">EBH201</w:t>
      </w:r>
      <w:r>
        <w:rPr>
          <w:vertAlign w:val="baseline"/>
        </w:rPr>
        <w:t xml:space="preserve">6.K.31.). Jogszerű eljárás alapján a bíróság kizárólag arra a következtetésre juthatott volna, hogy akkor is elszámolt volna kamatráfordítást, ha a kölcsönt nem a </w:t>
      </w:r>
      <w:r>
        <w:rPr>
          <w:vertAlign w:val="baseline"/>
        </w:rPr>
        <w:t xml:space="preserve">BV</w:t>
      </w:r>
      <w:r>
        <w:rPr>
          <w:vertAlign w:val="baseline"/>
        </w:rPr>
        <w:t xml:space="preserve">-től veszi fel.</w:t>
      </w:r>
    </w:p>
    <w:p>
      <w:pPr>
        <w:jc w:val="left"/>
      </w:pPr>
      <w:r>
        <w:rPr>
          <w:vertAlign w:val="baseline"/>
        </w:rPr>
        <w:t xml:space="preserve">  </w:t>
      </w:r>
    </w:p>
    <w:p>
      <w:pPr>
        <w:jc w:val="both"/>
      </w:pPr>
      <w:r>
        <w:rPr>
          <w:vertAlign w:val="baseline"/>
        </w:rPr>
        <w:t xml:space="preserve">[33]</w:t>
      </w:r>
      <w:r>
        <w:rPr>
          <w:vertAlign w:val="baseline"/>
        </w:rPr>
        <w:t xml:space="preserve">        </w:t>
      </w:r>
      <w:r>
        <w:rPr>
          <w:vertAlign w:val="baseline"/>
        </w:rPr>
        <w:t xml:space="preserve">Hangsúlyozta,</w:t>
      </w:r>
      <w:r>
        <w:rPr>
          <w:vertAlign w:val="baseline"/>
        </w:rPr>
        <w:t xml:space="preserve"> hogy a rendeltetésellenes joggyakorlás vizsgálatánál irreleváns, hogy </w:t>
      </w:r>
      <w:r>
        <w:rPr>
          <w:vertAlign w:val="baseline"/>
        </w:rPr>
        <w:t xml:space="preserve">Hollandiában</w:t>
      </w:r>
      <w:r>
        <w:rPr>
          <w:vertAlign w:val="baseline"/>
        </w:rPr>
        <w:t xml:space="preserve"> adóelőny keletkezett. Egyrészről azért, mert a </w:t>
      </w:r>
      <w:r>
        <w:rPr>
          <w:vertAlign w:val="baseline"/>
        </w:rPr>
        <w:t xml:space="preserve">BV</w:t>
      </w:r>
      <w:r>
        <w:rPr>
          <w:vertAlign w:val="baseline"/>
        </w:rPr>
        <w:t xml:space="preserve"> által </w:t>
      </w:r>
      <w:r>
        <w:rPr>
          <w:vertAlign w:val="baseline"/>
        </w:rPr>
        <w:t xml:space="preserve">Hollandiában</w:t>
      </w:r>
      <w:r>
        <w:rPr>
          <w:vertAlign w:val="baseline"/>
        </w:rPr>
        <w:t xml:space="preserve"> elért adóelőny alapján a magyar adóalany felperessel szemben magyar adókötelezettség nem állapítható meg, és a </w:t>
      </w:r>
      <w:r>
        <w:rPr>
          <w:vertAlign w:val="baseline"/>
        </w:rPr>
        <w:t xml:space="preserve">Hollandiában</w:t>
      </w:r>
      <w:r>
        <w:rPr>
          <w:vertAlign w:val="baseline"/>
        </w:rPr>
        <w:t xml:space="preserve"> elért adóelőny jogszerűségének vizsgálata nem a magyar adóhatóság feladata. Másrészről, a holland adóhatósági válaszból és a holland jogi véleményből egyértelműen kiderül, hogy a </w:t>
      </w:r>
      <w:r>
        <w:rPr>
          <w:vertAlign w:val="baseline"/>
        </w:rPr>
        <w:t xml:space="preserve">BV Hollandiában</w:t>
      </w:r>
      <w:r>
        <w:rPr>
          <w:vertAlign w:val="baseline"/>
        </w:rPr>
        <w:t xml:space="preserve"> az adómentességet jogszerűen vette igénybe, az a holland jogalkotó szándéka szerint valósult meg, függetlenül attól, hogy a forrásállamban a kamatráfordítás elszámolásra került.</w:t>
      </w:r>
    </w:p>
    <w:p>
      <w:pPr>
        <w:jc w:val="left"/>
      </w:pPr>
      <w:r>
        <w:rPr>
          <w:vertAlign w:val="baseline"/>
        </w:rPr>
        <w:t xml:space="preserve">  </w:t>
      </w:r>
    </w:p>
    <w:p>
      <w:pPr>
        <w:jc w:val="both"/>
      </w:pPr>
      <w:r>
        <w:rPr>
          <w:vertAlign w:val="baseline"/>
        </w:rPr>
        <w:t xml:space="preserve">[34]</w:t>
      </w:r>
      <w:r>
        <w:rPr>
          <w:vertAlign w:val="baseline"/>
        </w:rPr>
        <w:t xml:space="preserve">        </w:t>
      </w:r>
      <w:r>
        <w:rPr>
          <w:vertAlign w:val="baseline"/>
        </w:rPr>
        <w:t xml:space="preserve">Előadta</w:t>
      </w:r>
      <w:r>
        <w:rPr>
          <w:vertAlign w:val="baseline"/>
        </w:rPr>
        <w:t xml:space="preserve"> továbbá, hogy az elsőfokú bíróság tévesen értelmezte a forrásadóztatásra és az ún. jogi kettős adóztatásra vonatkozó nemzetközi és közösségi joganyagot. A jogi értelemben vett kettős (nem) adóztatást meg kell különböztetni a gazdasági értelemben vett kettős (nem) adóztatástól. Előbbi esetében ugyanazon adóalany ugyanazon jövedelmét vagy vagyonát érinti a túladóztatás, illetve nem-adóztatás, utóbbi esetében ezzel szemben két különböző adóalanyt terhel (vagy nem terhel) adókötelezettség egyazon jövedelem vagy vagyon után.</w:t>
      </w:r>
      <w:r>
        <w:rPr>
          <w:vertAlign w:val="baseline"/>
        </w:rPr>
        <w:t xml:space="preserve">  </w:t>
      </w:r>
    </w:p>
    <w:p>
      <w:pPr>
        <w:jc w:val="left"/>
      </w:pPr>
      <w:r>
        <w:rPr>
          <w:vertAlign w:val="baseline"/>
        </w:rPr>
        <w:t xml:space="preserve">  </w:t>
      </w:r>
    </w:p>
    <w:p>
      <w:pPr>
        <w:jc w:val="both"/>
      </w:pPr>
      <w:r>
        <w:rPr>
          <w:vertAlign w:val="baseline"/>
        </w:rPr>
        <w:t xml:space="preserve">[35]</w:t>
      </w:r>
      <w:r>
        <w:rPr>
          <w:vertAlign w:val="baseline"/>
        </w:rPr>
        <w:t xml:space="preserve">        </w:t>
      </w:r>
      <w:r>
        <w:rPr>
          <w:vertAlign w:val="baseline"/>
        </w:rPr>
        <w:t xml:space="preserve">Az Egyezmény</w:t>
      </w:r>
      <w:r>
        <w:rPr>
          <w:vertAlign w:val="baseline"/>
        </w:rPr>
        <w:t xml:space="preserve"> és a </w:t>
      </w:r>
      <w:r>
        <w:rPr>
          <w:vertAlign w:val="baseline"/>
        </w:rPr>
        <w:t xml:space="preserve">Kamat</w:t>
      </w:r>
      <w:r>
        <w:rPr>
          <w:vertAlign w:val="baseline"/>
        </w:rPr>
        <w:t xml:space="preserve">-Jogdíj </w:t>
      </w:r>
      <w:r>
        <w:rPr>
          <w:vertAlign w:val="baseline"/>
        </w:rPr>
        <w:t xml:space="preserve">Irányelv</w:t>
      </w:r>
      <w:r>
        <w:rPr>
          <w:vertAlign w:val="baseline"/>
        </w:rPr>
        <w:t xml:space="preserve"> tárgyi hatálya a jövedelem adóztatására, személyi hatálya pedig a jövedelmet szerző személyre terjed ki. Nem költségek elszámolhatóságával kapcsolatban fogalmaz meg szabályokat, hanem kizárólag a jövedelmek adóztatásával foglalkozik. Mivel a felperesnek nem keletkezett jövedelme az ügylet kapcsán, ezért a forrásadó- és az illetőség szerinti adókötelezettség nem is értelmezhető. Másrészt a perbeli időszakban a magyar társasági adó szabályozás nem alkalmazott forrásadót a </w:t>
      </w:r>
      <w:r>
        <w:rPr>
          <w:vertAlign w:val="baseline"/>
        </w:rPr>
        <w:t xml:space="preserve">Magyarországról</w:t>
      </w:r>
      <w:r>
        <w:rPr>
          <w:vertAlign w:val="baseline"/>
        </w:rPr>
        <w:t xml:space="preserve"> kifizetett kamatokra, így a forrásadó alóli mentesítés és vagy annak megtagadása fel sem merülhet. Harmadrészt az </w:t>
      </w:r>
      <w:r>
        <w:rPr>
          <w:vertAlign w:val="baseline"/>
        </w:rPr>
        <w:t xml:space="preserve">Egyezmény</w:t>
      </w:r>
      <w:r>
        <w:rPr>
          <w:vertAlign w:val="baseline"/>
        </w:rPr>
        <w:t xml:space="preserve"> és a </w:t>
      </w:r>
      <w:r>
        <w:rPr>
          <w:vertAlign w:val="baseline"/>
        </w:rPr>
        <w:t xml:space="preserve">Kamat</w:t>
      </w:r>
      <w:r>
        <w:rPr>
          <w:vertAlign w:val="baseline"/>
        </w:rPr>
        <w:t xml:space="preserve">-Jogdíj </w:t>
      </w:r>
      <w:r>
        <w:rPr>
          <w:vertAlign w:val="baseline"/>
        </w:rPr>
        <w:t xml:space="preserve">Irányelv</w:t>
      </w:r>
      <w:r>
        <w:rPr>
          <w:vertAlign w:val="baseline"/>
        </w:rPr>
        <w:t xml:space="preserve"> a jogi kettős adóztatás és nem-adóztatás kérdéskörével foglalkozik. A perbeli esetben ez a szabályozás tehát irreleváns, mivel az elsőfokú bíróság a gazdasági kettős nem-adózást kifogásolta (a magyar fél kamatráfordítást számol el, miközben a holland félnél a kamatjövedelem nem adóköteles). Az </w:t>
      </w:r>
      <w:r>
        <w:rPr>
          <w:vertAlign w:val="baseline"/>
        </w:rPr>
        <w:t xml:space="preserve">OECD Modellegyezmény</w:t>
      </w:r>
      <w:r>
        <w:rPr>
          <w:vertAlign w:val="baseline"/>
        </w:rPr>
        <w:t xml:space="preserve"> szerződéskötési modellként funkcionáló dokumentum. Kommentárja szerint amennyiben két állam meg kívánja oldani a gazdasági kettős adóztatás problémáját, azt kétoldalú tárgyalások során kell megtennie.</w:t>
      </w:r>
    </w:p>
    <w:p>
      <w:pPr>
        <w:jc w:val="left"/>
      </w:pPr>
      <w:r>
        <w:rPr>
          <w:vertAlign w:val="baseline"/>
        </w:rPr>
        <w:t xml:space="preserve">  </w:t>
      </w:r>
    </w:p>
    <w:p>
      <w:pPr>
        <w:jc w:val="both"/>
      </w:pPr>
      <w:r>
        <w:rPr>
          <w:vertAlign w:val="baseline"/>
        </w:rPr>
        <w:t xml:space="preserve">[36]</w:t>
      </w:r>
      <w:r>
        <w:rPr>
          <w:vertAlign w:val="baseline"/>
        </w:rPr>
        <w:t xml:space="preserve">        </w:t>
      </w:r>
      <w:r>
        <w:rPr>
          <w:vertAlign w:val="baseline"/>
        </w:rPr>
        <w:t xml:space="preserve">A </w:t>
      </w:r>
      <w:r>
        <w:rPr>
          <w:vertAlign w:val="baseline"/>
        </w:rPr>
        <w:t xml:space="preserve">Kamat</w:t>
      </w:r>
      <w:r>
        <w:rPr>
          <w:vertAlign w:val="baseline"/>
        </w:rPr>
        <w:t xml:space="preserve">-jogdíj irányelv alkalmazása kapcsán kiemelte, hogy a felperes a kamatráfordítást nem az irányelv alapján számolta el a tao alapjának terhére, hanem a </w:t>
      </w:r>
      <w:r>
        <w:rPr>
          <w:vertAlign w:val="baseline"/>
        </w:rPr>
        <w:t xml:space="preserve">Tao</w:t>
      </w:r>
      <w:r>
        <w:rPr>
          <w:vertAlign w:val="baseline"/>
        </w:rPr>
        <w:t xml:space="preserve"> tv. általános szabályai alapján, ezért az irányelv 4. cikkére alapozva a kamat ráfordításként történő elszámolása nem tagadható meg. A </w:t>
      </w:r>
      <w:r>
        <w:rPr>
          <w:vertAlign w:val="baseline"/>
        </w:rPr>
        <w:t xml:space="preserve">Kamat</w:t>
      </w:r>
      <w:r>
        <w:rPr>
          <w:vertAlign w:val="baseline"/>
        </w:rPr>
        <w:t xml:space="preserve">-jogdíj irányelv azért sem alkalmazható, mert az csak azokra a kapcsolt vállalkozásokra terjed ki, ahol az egyik társaság minimum 25% közvetlen részesedéssel rendelkezik a másik tőkéjéből vagy szavazati jogából, illetve ha egy harmadik vállalkozás minimum 25% közvetlen részesedéssel rendelkezik mindkét társaság tőkéjéből vagy szavazati jogából. Sem a felperes, sem a </w:t>
      </w:r>
      <w:r>
        <w:rPr>
          <w:vertAlign w:val="baseline"/>
        </w:rPr>
        <w:t xml:space="preserve">BV</w:t>
      </w:r>
      <w:r>
        <w:rPr>
          <w:vertAlign w:val="baseline"/>
        </w:rPr>
        <w:t xml:space="preserve"> nem rendelkezett közvetlen részesedéssel a másik társaságban, és nincs olyan harmadik társaság sem, ami közvetlen részesedéssel rendelkezne mindkét társaságban, a </w:t>
      </w:r>
      <w:r>
        <w:rPr>
          <w:vertAlign w:val="baseline"/>
        </w:rPr>
        <w:t xml:space="preserve">Kamat</w:t>
      </w:r>
      <w:r>
        <w:rPr>
          <w:vertAlign w:val="baseline"/>
        </w:rPr>
        <w:t xml:space="preserve">-jogdíj irányelv személyi hatálya tehát nem is terjed ki a felperesre és a </w:t>
      </w:r>
      <w:r>
        <w:rPr>
          <w:vertAlign w:val="baseline"/>
        </w:rPr>
        <w:t xml:space="preserve">BV</w:t>
      </w:r>
      <w:r>
        <w:rPr>
          <w:vertAlign w:val="baseline"/>
        </w:rPr>
        <w:t xml:space="preserve">-re a perbeli ügylet tekintetében. Az elsőfokú bíróság ezt a feltételt nem vizsgálta, és koncepcionálisan tévesen alkalmazta vele szemben az ún. jogi kettős (nem) adóztatásra vonatkozó nemzetközi és közösségi adójogi szabályokat, mivel jogi kettős nem adóztatás vele szemben nem állapítható meg.</w:t>
      </w:r>
    </w:p>
    <w:p>
      <w:pPr>
        <w:jc w:val="left"/>
      </w:pPr>
      <w:r>
        <w:rPr>
          <w:vertAlign w:val="baseline"/>
        </w:rPr>
        <w:t xml:space="preserve">  </w:t>
      </w:r>
    </w:p>
    <w:p>
      <w:pPr>
        <w:jc w:val="both"/>
      </w:pPr>
      <w:r>
        <w:rPr>
          <w:vertAlign w:val="baseline"/>
        </w:rPr>
        <w:t xml:space="preserve">[37]</w:t>
      </w:r>
      <w:r>
        <w:rPr>
          <w:vertAlign w:val="baseline"/>
        </w:rPr>
        <w:t xml:space="preserve">        </w:t>
      </w:r>
      <w:r>
        <w:rPr>
          <w:vertAlign w:val="baseline"/>
        </w:rPr>
        <w:t xml:space="preserve">Kifogásolta</w:t>
      </w:r>
      <w:r>
        <w:rPr>
          <w:vertAlign w:val="baseline"/>
        </w:rPr>
        <w:t xml:space="preserve"> továbbá, hogy az elsőfokú bíróság a kamatteher mértékét iratellenesen és okszerűtlenül állapította meg. a holland jogi véleményben foglaltak értékelését mellőzte, perben irányadó jogot tévesen állapította meg, </w:t>
      </w:r>
      <w:r>
        <w:rPr>
          <w:vertAlign w:val="baseline"/>
        </w:rPr>
        <w:t xml:space="preserve">a kölcsönszerződés tartalmát iratellenesen rögzítette akként, hogy a kamat a veszteséges évekre nem vált esedékessé.</w:t>
      </w:r>
    </w:p>
    <w:p>
      <w:pPr>
        <w:jc w:val="left"/>
      </w:pPr>
      <w:r>
        <w:rPr>
          <w:vertAlign w:val="baseline"/>
        </w:rPr>
        <w:t xml:space="preserve">  </w:t>
      </w:r>
    </w:p>
    <w:p>
      <w:pPr>
        <w:jc w:val="both"/>
      </w:pPr>
      <w:r>
        <w:rPr>
          <w:vertAlign w:val="baseline"/>
        </w:rPr>
        <w:t xml:space="preserve">[38]</w:t>
      </w:r>
      <w:r>
        <w:rPr>
          <w:vertAlign w:val="baseline"/>
        </w:rPr>
        <w:t xml:space="preserve">        </w:t>
      </w:r>
      <w:r>
        <w:rPr>
          <w:vertAlign w:val="baseline"/>
        </w:rPr>
        <w:t xml:space="preserve">Állította,</w:t>
      </w:r>
      <w:r>
        <w:rPr>
          <w:vertAlign w:val="baseline"/>
        </w:rPr>
        <w:t xml:space="preserve"> hogy a perbeli ügylet kapcsán adókijátszás, rendeltetésellenes joggyakorlás nem valósult meg, továbbá hogy</w:t>
      </w:r>
      <w:r>
        <w:rPr>
          <w:vertAlign w:val="baseline"/>
        </w:rPr>
        <w:t xml:space="preserve"> elsőfokú bíróság tévesen nem értékelte az adóbírság körében, hogy az adóhatóság 2010 év vizsgálata során nem kifogásolta a </w:t>
      </w:r>
      <w:r>
        <w:rPr>
          <w:vertAlign w:val="baseline"/>
        </w:rPr>
        <w:t xml:space="preserve">BV</w:t>
      </w:r>
      <w:r>
        <w:rPr>
          <w:vertAlign w:val="baseline"/>
        </w:rPr>
        <w:t xml:space="preserve">-vel kötött ügyletet (BH</w:t>
      </w:r>
      <w:r>
        <w:rPr>
          <w:vertAlign w:val="baseline"/>
        </w:rPr>
        <w:t xml:space="preserve">2016.218).</w:t>
      </w:r>
    </w:p>
    <w:p>
      <w:pPr>
        <w:jc w:val="left"/>
      </w:pPr>
      <w:r>
        <w:rPr>
          <w:vertAlign w:val="baseline"/>
        </w:rPr>
        <w:t xml:space="preserve">  </w:t>
      </w:r>
    </w:p>
    <w:p>
      <w:pPr>
        <w:jc w:val="both"/>
      </w:pPr>
      <w:r>
        <w:rPr>
          <w:vertAlign w:val="baseline"/>
        </w:rPr>
        <w:t xml:space="preserve">[39]</w:t>
      </w:r>
      <w:r>
        <w:rPr>
          <w:vertAlign w:val="baseline"/>
        </w:rPr>
        <w:t xml:space="preserve">        </w:t>
      </w:r>
      <w:r>
        <w:rPr>
          <w:vertAlign w:val="baseline"/>
        </w:rPr>
        <w:t xml:space="preserve">Az alperes felülvizsgálati ellenkérelmében a jogerős ítélet hatályában való fenntartását kérte. Az elsőfokú bíróság az ügyletet valódi tartalma alapján minősítette, döntése megfelel az eljárási jogszabályoknak.</w:t>
      </w:r>
    </w:p>
    <w:p>
      <w:pPr>
        <w:jc w:val="left"/>
      </w:pPr>
      <w:r>
        <w:rPr>
          <w:vertAlign w:val="baseline"/>
        </w:rPr>
        <w:t xml:space="preserve">  </w:t>
      </w:r>
    </w:p>
    <w:p>
      <w:pPr>
        <w:jc w:val="both"/>
      </w:pPr>
      <w:r>
        <w:rPr>
          <w:vertAlign w:val="baseline"/>
        </w:rPr>
        <w:t xml:space="preserve">[40]</w:t>
      </w:r>
      <w:r>
        <w:rPr>
          <w:vertAlign w:val="baseline"/>
        </w:rPr>
        <w:t xml:space="preserve">        </w:t>
      </w:r>
      <w:r>
        <w:rPr>
          <w:vertAlign w:val="baseline"/>
        </w:rPr>
        <w:t xml:space="preserve">Hangsúlyozta,</w:t>
      </w:r>
      <w:r>
        <w:rPr>
          <w:vertAlign w:val="baseline"/>
        </w:rPr>
        <w:t xml:space="preserve"> hogy a felperes által alkalmazott adózási gyakorlat sérti az </w:t>
      </w:r>
      <w:r>
        <w:rPr>
          <w:vertAlign w:val="baseline"/>
        </w:rPr>
        <w:t xml:space="preserve">Egyezményt</w:t>
      </w:r>
      <w:r>
        <w:rPr>
          <w:vertAlign w:val="baseline"/>
        </w:rPr>
        <w:t xml:space="preserve"> és a </w:t>
      </w:r>
      <w:r>
        <w:rPr>
          <w:vertAlign w:val="baseline"/>
        </w:rPr>
        <w:t xml:space="preserve">Kamat</w:t>
      </w:r>
      <w:r>
        <w:rPr>
          <w:vertAlign w:val="baseline"/>
        </w:rPr>
        <w:t xml:space="preserve">-jogdíj irányelvet az alábbi szabályozási elvek szerint: a kettős adózás elkerülése és az adókijátszás megakadályozása; a forrásállam lemond a kamat adóztatásáról, hogy a haszonhúzó államban viseljen adóterhet a jövedelem, elkerülve ezáltal a kettős adóztatást; amennyiben a kamat nem adózik a fogadó államban, </w:t>
      </w:r>
      <w:r>
        <w:rPr>
          <w:vertAlign w:val="baseline"/>
        </w:rPr>
        <w:t xml:space="preserve">Magyarország</w:t>
      </w:r>
      <w:r>
        <w:rPr>
          <w:vertAlign w:val="baseline"/>
        </w:rPr>
        <w:t xml:space="preserve"> adóztatja a jövedelmet [</w:t>
      </w:r>
      <w:r>
        <w:rPr>
          <w:vertAlign w:val="baseline"/>
        </w:rPr>
        <w:t xml:space="preserve">Art.</w:t>
      </w:r>
      <w:r>
        <w:rPr>
          <w:vertAlign w:val="baseline"/>
        </w:rPr>
        <w:t xml:space="preserve"> 2. § (1) bekezdés, </w:t>
      </w:r>
      <w:r>
        <w:rPr>
          <w:vertAlign w:val="baseline"/>
        </w:rPr>
        <w:t xml:space="preserve">OECD Modellegyezmény Kommentár</w:t>
      </w:r>
      <w:r>
        <w:rPr>
          <w:vertAlign w:val="baseline"/>
        </w:rPr>
        <w:t xml:space="preserve">]; a </w:t>
      </w:r>
      <w:r>
        <w:rPr>
          <w:vertAlign w:val="baseline"/>
        </w:rPr>
        <w:t xml:space="preserve">Kamat</w:t>
      </w:r>
      <w:r>
        <w:rPr>
          <w:vertAlign w:val="baseline"/>
        </w:rPr>
        <w:t xml:space="preserve">-jogdíj irányelv 4. cikke lehetőséget biztosít a forrásadó-mentesítés alóli kivételre az ott felsorolt feltételek esetén, amelyek alapelvi megjelenése az </w:t>
      </w:r>
      <w:r>
        <w:rPr>
          <w:vertAlign w:val="baseline"/>
        </w:rPr>
        <w:t xml:space="preserve">Art.</w:t>
      </w:r>
      <w:r>
        <w:rPr>
          <w:vertAlign w:val="baseline"/>
        </w:rPr>
        <w:t xml:space="preserve"> 2. § (2) bekezdése.</w:t>
      </w:r>
    </w:p>
    <w:p>
      <w:pPr>
        <w:jc w:val="left"/>
      </w:pPr>
      <w:r>
        <w:rPr>
          <w:vertAlign w:val="baseline"/>
        </w:rPr>
        <w:t xml:space="preserve">  </w:t>
      </w:r>
    </w:p>
    <w:p>
      <w:pPr>
        <w:jc w:val="both"/>
      </w:pPr>
      <w:r>
        <w:rPr>
          <w:b/>
          <w:vertAlign w:val="baseline"/>
        </w:rPr>
        <w:t xml:space="preserve"> </w:t>
      </w:r>
      <w:r>
        <w:rPr>
          <w:b/>
          <w:vertAlign w:val="baseline"/>
        </w:rPr>
        <w:t xml:space="preserve">A </w:t>
      </w:r>
      <w:r>
        <w:rPr>
          <w:b/>
          <w:vertAlign w:val="baseline"/>
        </w:rPr>
        <w:t xml:space="preserve">Kúria</w:t>
      </w:r>
      <w:r>
        <w:rPr>
          <w:b/>
          <w:vertAlign w:val="baseline"/>
        </w:rPr>
        <w:t xml:space="preserve"> döntése és jogi indoka</w:t>
      </w:r>
    </w:p>
    <w:p>
      <w:pPr>
        <w:jc w:val="left"/>
      </w:pPr>
      <w:r>
        <w:rPr>
          <w:vertAlign w:val="baseline"/>
        </w:rPr>
        <w:t xml:space="preserve">  </w:t>
      </w:r>
    </w:p>
    <w:p>
      <w:pPr>
        <w:jc w:val="both"/>
      </w:pPr>
      <w:r>
        <w:rPr>
          <w:vertAlign w:val="baseline"/>
        </w:rPr>
        <w:t xml:space="preserve">[41]</w:t>
      </w:r>
      <w:r>
        <w:rPr>
          <w:vertAlign w:val="baseline"/>
        </w:rPr>
        <w:t xml:space="preserve">        </w:t>
      </w:r>
      <w:r>
        <w:rPr>
          <w:vertAlign w:val="baseline"/>
        </w:rPr>
        <w:t xml:space="preserve">A felülvizsgálati kérelem alapos.</w:t>
      </w:r>
    </w:p>
    <w:p>
      <w:pPr>
        <w:jc w:val="left"/>
      </w:pPr>
      <w:r>
        <w:rPr>
          <w:vertAlign w:val="baseline"/>
        </w:rPr>
        <w:t xml:space="preserve">  </w:t>
      </w:r>
    </w:p>
    <w:p>
      <w:pPr>
        <w:jc w:val="both"/>
      </w:pPr>
      <w:r>
        <w:rPr>
          <w:vertAlign w:val="baseline"/>
        </w:rPr>
        <w:t xml:space="preserve">[42]</w:t>
      </w:r>
      <w:r>
        <w:rPr>
          <w:vertAlign w:val="baseline"/>
        </w:rPr>
        <w:t xml:space="preserve">        </w:t>
      </w:r>
      <w:r>
        <w:rPr>
          <w:vertAlign w:val="baseline"/>
        </w:rPr>
        <w:t xml:space="preserve">A jogerős ítélettel szemben a </w:t>
      </w:r>
      <w:r>
        <w:rPr>
          <w:vertAlign w:val="baseline"/>
        </w:rPr>
        <w:t xml:space="preserve">Kp.</w:t>
      </w:r>
      <w:r>
        <w:rPr>
          <w:vertAlign w:val="baseline"/>
        </w:rPr>
        <w:t xml:space="preserve"> 115. § (1) bekezdése alapján jogszabálysértésre hivatkozással van helye felülvizsgálatnak. A </w:t>
      </w:r>
      <w:r>
        <w:rPr>
          <w:vertAlign w:val="baseline"/>
        </w:rPr>
        <w:t xml:space="preserve">Kp.</w:t>
      </w:r>
      <w:r>
        <w:rPr>
          <w:vertAlign w:val="baseline"/>
        </w:rPr>
        <w:t xml:space="preserve"> 115. § (2) bekezdése értelmében alkalmazandó </w:t>
      </w:r>
      <w:r>
        <w:rPr>
          <w:vertAlign w:val="baseline"/>
        </w:rPr>
        <w:t xml:space="preserve">Kp.</w:t>
      </w:r>
      <w:r>
        <w:rPr>
          <w:vertAlign w:val="baseline"/>
        </w:rPr>
        <w:t xml:space="preserve"> 108. § (1) bekezdése szerint a </w:t>
      </w:r>
      <w:r>
        <w:rPr>
          <w:vertAlign w:val="baseline"/>
        </w:rPr>
        <w:t xml:space="preserve">Kúria</w:t>
      </w:r>
      <w:r>
        <w:rPr>
          <w:vertAlign w:val="baseline"/>
        </w:rPr>
        <w:t xml:space="preserve"> a jogerős ítéletet - a bizonyítás és vizsgálat hivatalbóli elrendelésének körén kívül - csak a felülvizsgálati kérelem, a csatlakozó felülvizsgálati kérelem, és a felülvizsgálati ellenkérelem keretei között vizsgálhatja felül, a </w:t>
      </w:r>
      <w:r>
        <w:rPr>
          <w:vertAlign w:val="baseline"/>
        </w:rPr>
        <w:t xml:space="preserve">Kp.</w:t>
      </w:r>
      <w:r>
        <w:rPr>
          <w:vertAlign w:val="baseline"/>
        </w:rPr>
        <w:t xml:space="preserve"> 120. § (5) bekezdése értelmében az eljárásban bizonyítás felvételének nincs helye, a </w:t>
      </w:r>
      <w:r>
        <w:rPr>
          <w:vertAlign w:val="baseline"/>
        </w:rPr>
        <w:t xml:space="preserve">Kúria</w:t>
      </w:r>
      <w:r>
        <w:rPr>
          <w:vertAlign w:val="baseline"/>
        </w:rPr>
        <w:t xml:space="preserve"> a felülvizsgálati kérelem elbírálása során a jogerős határozat meghozatalakor rendelkezésre álló iratok és bizonyítékok alapján dönt.</w:t>
      </w:r>
    </w:p>
    <w:p>
      <w:pPr>
        <w:jc w:val="left"/>
      </w:pPr>
      <w:r>
        <w:rPr>
          <w:vertAlign w:val="baseline"/>
        </w:rPr>
        <w:t xml:space="preserve">  </w:t>
      </w:r>
    </w:p>
    <w:p>
      <w:pPr>
        <w:jc w:val="both"/>
      </w:pPr>
      <w:r>
        <w:rPr>
          <w:vertAlign w:val="baseline"/>
        </w:rPr>
        <w:t xml:space="preserve">[43]</w:t>
      </w:r>
      <w:r>
        <w:rPr>
          <w:vertAlign w:val="baseline"/>
        </w:rPr>
        <w:t xml:space="preserve">        </w:t>
      </w:r>
      <w:r>
        <w:rPr>
          <w:vertAlign w:val="baseline"/>
        </w:rPr>
        <w:t xml:space="preserve">A </w:t>
      </w:r>
      <w:r>
        <w:rPr>
          <w:vertAlign w:val="baseline"/>
        </w:rPr>
        <w:t xml:space="preserve">Számv.</w:t>
      </w:r>
      <w:r>
        <w:rPr>
          <w:vertAlign w:val="baseline"/>
        </w:rPr>
        <w:t xml:space="preserve"> tv. 85. § (2) bekezdése kimondja, hogy az éves beszámolóban fizetendő kamatok és kamatjellegű ráfordítások között kell kimutatni, függetlenül attól, hogy azt hitelintézet, más gazdálkodó vagy magánszemély részére kell fizetni: a) a hosszú, illetve a rövid lejáratú kötelezettségek között nyilvántartott kölcsönök, hitelek, kötvénykibocsátásból és más hitelviszonyt megtestesítő értékpapír kibocsátásból fennálló tartozások, váltótartozások után fizetett, fizetendő (esedékes) kamat összegét az eszközök bekerülési értékében elszámolt, figyelembe vett kamat kivételével; b) a hátrasorolt kötelezettségek (az alárendelt kölcsöntőke) után fizetett, fizetendő (esedékes) kamat összegét.</w:t>
      </w:r>
    </w:p>
    <w:p>
      <w:pPr>
        <w:jc w:val="left"/>
      </w:pPr>
      <w:r>
        <w:rPr>
          <w:vertAlign w:val="baseline"/>
        </w:rPr>
        <w:t xml:space="preserve">  </w:t>
      </w:r>
    </w:p>
    <w:p>
      <w:pPr>
        <w:jc w:val="both"/>
      </w:pPr>
      <w:r>
        <w:rPr>
          <w:vertAlign w:val="baseline"/>
        </w:rPr>
        <w:t xml:space="preserve">[44]</w:t>
      </w:r>
      <w:r>
        <w:rPr>
          <w:vertAlign w:val="baseline"/>
        </w:rPr>
        <w:t xml:space="preserve">        </w:t>
      </w:r>
      <w:r>
        <w:rPr>
          <w:vertAlign w:val="baseline"/>
        </w:rPr>
        <w:t xml:space="preserve">A fizetett kamat tehát, a hátrasorolt kötelezettségek után is, a beszámolóban ráfordításként szerepeltetendő, annak figyelembe vételével </w:t>
      </w:r>
      <w:r>
        <w:rPr>
          <w:vertAlign w:val="baseline"/>
        </w:rPr>
        <w:t xml:space="preserve">kerül sor az adózás előtti eredmény kimutatására.</w:t>
      </w:r>
    </w:p>
    <w:p>
      <w:pPr>
        <w:jc w:val="left"/>
      </w:pPr>
      <w:r>
        <w:rPr>
          <w:vertAlign w:val="baseline"/>
        </w:rPr>
        <w:t xml:space="preserve">  </w:t>
      </w:r>
    </w:p>
    <w:p>
      <w:pPr>
        <w:jc w:val="both"/>
      </w:pPr>
      <w:r>
        <w:rPr>
          <w:vertAlign w:val="baseline"/>
        </w:rPr>
        <w:t xml:space="preserve">[45]</w:t>
      </w:r>
      <w:r>
        <w:rPr>
          <w:vertAlign w:val="baseline"/>
        </w:rPr>
        <w:t xml:space="preserve">        </w:t>
      </w:r>
      <w:r>
        <w:rPr>
          <w:vertAlign w:val="baseline"/>
        </w:rPr>
        <w:t xml:space="preserve">A </w:t>
      </w:r>
      <w:r>
        <w:rPr>
          <w:vertAlign w:val="baseline"/>
        </w:rPr>
        <w:t xml:space="preserve">Tao</w:t>
      </w:r>
      <w:r>
        <w:rPr>
          <w:vertAlign w:val="baseline"/>
        </w:rPr>
        <w:t xml:space="preserve"> tv. 6. § (1) bekezdése szerint a társasági adó alapja belföldi illetőségű adózó és külföldi vállalkozó esetében az adózás előtti eredmény, módosítva a 7., 8., 16., 18. és a 28. §-okban, valamint a </w:t>
      </w:r>
      <w:r>
        <w:rPr>
          <w:vertAlign w:val="baseline"/>
        </w:rPr>
        <w:t xml:space="preserve">VII.</w:t>
      </w:r>
      <w:r>
        <w:rPr>
          <w:vertAlign w:val="baseline"/>
        </w:rPr>
        <w:t xml:space="preserve"> fejezetben foglaltakkal.</w:t>
      </w:r>
    </w:p>
    <w:p>
      <w:pPr>
        <w:jc w:val="left"/>
      </w:pPr>
      <w:r>
        <w:rPr>
          <w:vertAlign w:val="baseline"/>
        </w:rPr>
        <w:t xml:space="preserve">  </w:t>
      </w:r>
    </w:p>
    <w:p>
      <w:pPr>
        <w:jc w:val="both"/>
      </w:pPr>
      <w:r>
        <w:rPr>
          <w:vertAlign w:val="baseline"/>
        </w:rPr>
        <w:t xml:space="preserve">[46]</w:t>
      </w:r>
      <w:r>
        <w:rPr>
          <w:vertAlign w:val="baseline"/>
        </w:rPr>
        <w:t xml:space="preserve">        </w:t>
      </w:r>
      <w:r>
        <w:rPr>
          <w:vertAlign w:val="baseline"/>
        </w:rPr>
        <w:t xml:space="preserve">A </w:t>
      </w:r>
      <w:r>
        <w:rPr>
          <w:vertAlign w:val="baseline"/>
        </w:rPr>
        <w:t xml:space="preserve">Tao</w:t>
      </w:r>
      <w:r>
        <w:rPr>
          <w:vertAlign w:val="baseline"/>
        </w:rPr>
        <w:t xml:space="preserve"> tv. 8. § d) pontja alapján az adózás előtti eredmény növelendő a nem a vállalkozási, a bevételszerző tevékenységgel kapcsolatban felmerült, elszámolt ráfordítás összegével.</w:t>
      </w:r>
    </w:p>
    <w:p>
      <w:pPr>
        <w:jc w:val="left"/>
      </w:pPr>
      <w:r>
        <w:rPr>
          <w:vertAlign w:val="baseline"/>
        </w:rPr>
        <w:t xml:space="preserve">  </w:t>
      </w:r>
    </w:p>
    <w:p>
      <w:pPr>
        <w:jc w:val="both"/>
      </w:pPr>
      <w:r>
        <w:rPr>
          <w:vertAlign w:val="baseline"/>
        </w:rPr>
        <w:t xml:space="preserve">[47]</w:t>
      </w:r>
      <w:r>
        <w:rPr>
          <w:vertAlign w:val="baseline"/>
        </w:rPr>
        <w:t xml:space="preserve">        </w:t>
      </w:r>
      <w:r>
        <w:rPr>
          <w:vertAlign w:val="baseline"/>
        </w:rPr>
        <w:t xml:space="preserve">Az adóhatóság nem vitatta, hogy a felperes a kölcsönt – visszafizetési kötelezettség mellett - vállalkozási tevékenysége érdekében vette fel, azonban azt állapította meg, hogy a felperes a </w:t>
      </w:r>
      <w:r>
        <w:rPr>
          <w:vertAlign w:val="baseline"/>
        </w:rPr>
        <w:t xml:space="preserve">BV</w:t>
      </w:r>
      <w:r>
        <w:rPr>
          <w:vertAlign w:val="baseline"/>
        </w:rPr>
        <w:t xml:space="preserve">-vel jogellenes adóelőny elérése végett kötött szerződést, mert a </w:t>
      </w:r>
      <w:r>
        <w:rPr>
          <w:vertAlign w:val="baseline"/>
        </w:rPr>
        <w:t xml:space="preserve">BV</w:t>
      </w:r>
      <w:r>
        <w:rPr>
          <w:vertAlign w:val="baseline"/>
        </w:rPr>
        <w:t xml:space="preserve"> ténylegesen nem kölcsönt, hanem tőkét juttatott, így a fizetett kamat nem számolható el kamatráfordításként az adózás előtti eredményben, így az adó alapjának meghatározásakor sem, arra figyelemmel, hogy a </w:t>
      </w:r>
      <w:r>
        <w:rPr>
          <w:vertAlign w:val="baseline"/>
        </w:rPr>
        <w:t xml:space="preserve">BV</w:t>
      </w:r>
      <w:r>
        <w:rPr>
          <w:vertAlign w:val="baseline"/>
        </w:rPr>
        <w:t xml:space="preserve"> kamatadót nem fizetett, így kettős nem adózás helyzete állt elő.</w:t>
      </w:r>
    </w:p>
    <w:p>
      <w:pPr>
        <w:jc w:val="left"/>
      </w:pPr>
      <w:r>
        <w:rPr>
          <w:vertAlign w:val="baseline"/>
        </w:rPr>
        <w:t xml:space="preserve">  </w:t>
      </w:r>
    </w:p>
    <w:p>
      <w:pPr>
        <w:jc w:val="both"/>
      </w:pPr>
      <w:r>
        <w:rPr>
          <w:vertAlign w:val="baseline"/>
        </w:rPr>
        <w:t xml:space="preserve">[48]</w:t>
      </w:r>
      <w:r>
        <w:rPr>
          <w:vertAlign w:val="baseline"/>
        </w:rPr>
        <w:t xml:space="preserve">        </w:t>
      </w:r>
      <w:r>
        <w:rPr>
          <w:vertAlign w:val="baseline"/>
        </w:rPr>
        <w:t xml:space="preserve">A </w:t>
      </w:r>
      <w:r>
        <w:rPr>
          <w:vertAlign w:val="baseline"/>
        </w:rPr>
        <w:t xml:space="preserve">Tao</w:t>
      </w:r>
      <w:r>
        <w:rPr>
          <w:vertAlign w:val="baseline"/>
        </w:rPr>
        <w:t xml:space="preserve"> tv. 1. § (2) bekezdése szerint „</w:t>
      </w:r>
      <w:r>
        <w:rPr>
          <w:i/>
          <w:vertAlign w:val="baseline"/>
        </w:rPr>
        <w:t xml:space="preserve">Az adókötelezettséget, az adót befolyásoló, annak csökkenését eredményező szabály, adóelőny (adómentesség, adókedvezmény) annyiban alkalmazható, illetőleg érvényesíthető, amennyiben az annak alapjául szolgáló jogügylet, más hasonló cselekmény tartalma megvalósítja a szabály, az adóelőny célját. Az alkalmazhatóságot, illetőleg az érvényesíthetőséget annak kell bizonyítania, akinek az érdekében áll. Ha a jogügylet tartalma alapján az állapítható meg, hogy annak célja csak adóelőny az egyik fél vagy a felek számára, akkor a jogügylet alapján elszámolt költség, ráfordítás, nem minősül a vállalkozás érdekében felmerült költségnek, ráfordításnak, illetve adóelőny nem érvényesíthető.</w:t>
      </w:r>
      <w:r>
        <w:rPr>
          <w:vertAlign w:val="baseline"/>
        </w:rPr>
        <w:t xml:space="preserve">”</w:t>
      </w:r>
    </w:p>
    <w:p>
      <w:pPr>
        <w:jc w:val="left"/>
      </w:pPr>
      <w:r>
        <w:rPr>
          <w:vertAlign w:val="baseline"/>
        </w:rPr>
        <w:t xml:space="preserve">  </w:t>
      </w:r>
    </w:p>
    <w:p>
      <w:pPr>
        <w:jc w:val="both"/>
      </w:pPr>
      <w:r>
        <w:rPr>
          <w:vertAlign w:val="baseline"/>
        </w:rPr>
        <w:t xml:space="preserve">[49]</w:t>
      </w:r>
      <w:r>
        <w:rPr>
          <w:vertAlign w:val="baseline"/>
        </w:rPr>
        <w:t xml:space="preserve">        </w:t>
      </w:r>
      <w:r>
        <w:rPr>
          <w:vertAlign w:val="baseline"/>
        </w:rPr>
        <w:t xml:space="preserve">A </w:t>
      </w:r>
      <w:r>
        <w:rPr>
          <w:vertAlign w:val="baseline"/>
        </w:rPr>
        <w:t xml:space="preserve">Tao</w:t>
      </w:r>
      <w:r>
        <w:rPr>
          <w:vertAlign w:val="baseline"/>
        </w:rPr>
        <w:t xml:space="preserve"> tv. értelmében tehát a vállalkozás érdekében felmerült kamat ráfordításként való elszámolása akkor jogszerű, amennyiben az ügylet tartalmi elemeinek vizsgálata alapján az állapítható meg, hogy az elszámolása megvalósítja a ráfordításként való elismerés célját, viszont nem ismerhető el a vállalkozás érdekében felmerült kiadásnak, amennyiben a szerződéskötés célja kizárólag, illetve főként adóelőny elérése volt a felek, vagy az egyik fél számára. A </w:t>
      </w:r>
      <w:r>
        <w:rPr>
          <w:vertAlign w:val="baseline"/>
        </w:rPr>
        <w:t xml:space="preserve">Tao</w:t>
      </w:r>
      <w:r>
        <w:rPr>
          <w:vertAlign w:val="baseline"/>
        </w:rPr>
        <w:t xml:space="preserve"> tv. 1. § (1) bekezdése alapján alkalmazandó </w:t>
      </w:r>
      <w:r>
        <w:rPr>
          <w:vertAlign w:val="baseline"/>
        </w:rPr>
        <w:t xml:space="preserve">Art</w:t>
      </w:r>
      <w:r>
        <w:rPr>
          <w:vertAlign w:val="baseline"/>
        </w:rPr>
        <w:t xml:space="preserve"> 1. § (7) bekezdése szerint a szerződést, ügyletet és más hasonló cselekményeket valódi tartalmuk szerint kell minősíteni. Az érvénytelen szerződésnek vagy más jogügyletnek az adózás szempontjából annyiban van jelentősége, amennyiben gazdasági eredménye kimutatható. </w:t>
      </w:r>
      <w:r>
        <w:rPr>
          <w:vertAlign w:val="baseline"/>
        </w:rPr>
        <w:t xml:space="preserve">Az Art.</w:t>
      </w:r>
      <w:r>
        <w:rPr>
          <w:vertAlign w:val="baseline"/>
        </w:rPr>
        <w:t xml:space="preserve"> tárgyidőszakban hatályos 2. § (1) bekezdése értelmében az adójogviszonyokban a jogokat rendeltetésszerűen kell gyakorolni. Az adótörvények alkalmazásában nem minősül rendeltetésszerű joggyakorlásnak az olyan szerződés vagy más jogügylet, amelynek célja az adótörvényben foglalt rendelkezések megkerülése.</w:t>
      </w:r>
    </w:p>
    <w:p>
      <w:pPr>
        <w:jc w:val="left"/>
      </w:pPr>
      <w:r>
        <w:rPr>
          <w:vertAlign w:val="baseline"/>
        </w:rPr>
        <w:t xml:space="preserve">  </w:t>
      </w:r>
    </w:p>
    <w:p>
      <w:pPr>
        <w:jc w:val="both"/>
      </w:pPr>
      <w:r>
        <w:rPr>
          <w:vertAlign w:val="baseline"/>
        </w:rPr>
        <w:t xml:space="preserve">[50]</w:t>
      </w:r>
      <w:r>
        <w:rPr>
          <w:vertAlign w:val="baseline"/>
        </w:rPr>
        <w:t xml:space="preserve">        </w:t>
      </w:r>
      <w:r>
        <w:rPr>
          <w:vertAlign w:val="baseline"/>
        </w:rPr>
        <w:t xml:space="preserve">Ezen</w:t>
      </w:r>
      <w:r>
        <w:rPr>
          <w:vertAlign w:val="baseline"/>
        </w:rPr>
        <w:t xml:space="preserve"> rendelkezések értelmezésére kialakult bírói gyakorlat a visszaélésszerű joggyakorlást nem csupán abban az esetben tartja megállapíthatónak, ha az ügylet kizárólagos célja adókijátszás, hanem akkor is, ha az ügylet valódi gazdasági tartalma mellett az ügyletkötést uraló cél az adóelkerülés, a jogellenes adóelőny elérése.</w:t>
      </w:r>
    </w:p>
    <w:p>
      <w:pPr>
        <w:jc w:val="left"/>
      </w:pPr>
      <w:r>
        <w:rPr>
          <w:vertAlign w:val="baseline"/>
        </w:rPr>
        <w:t xml:space="preserve">  </w:t>
      </w:r>
    </w:p>
    <w:p>
      <w:pPr>
        <w:jc w:val="both"/>
      </w:pPr>
      <w:r>
        <w:rPr>
          <w:vertAlign w:val="baseline"/>
        </w:rPr>
        <w:t xml:space="preserve">[51]</w:t>
      </w:r>
      <w:r>
        <w:rPr>
          <w:vertAlign w:val="baseline"/>
        </w:rPr>
        <w:t xml:space="preserve">        </w:t>
      </w:r>
      <w:r>
        <w:rPr>
          <w:vertAlign w:val="baseline"/>
        </w:rPr>
        <w:t xml:space="preserve">Rögzítendő,</w:t>
      </w:r>
      <w:r>
        <w:rPr>
          <w:vertAlign w:val="baseline"/>
        </w:rPr>
        <w:t xml:space="preserve"> hogy az adóhatóság a szokásos piaci kamatot meghaladó kamat kikötését nem állította, azonban a kölcsön alárendeltsége, biztosíték kikötésének hiánya, a futamidő, a kamat pozitív adózás utáni eredmény esetére szóló esedékessége, kizárólag a nyereséges évekre megállapítandó volta, valamint a </w:t>
      </w:r>
      <w:r>
        <w:rPr>
          <w:vertAlign w:val="baseline"/>
        </w:rPr>
        <w:t xml:space="preserve">Hollandiában</w:t>
      </w:r>
      <w:r>
        <w:rPr>
          <w:vertAlign w:val="baseline"/>
        </w:rPr>
        <w:t xml:space="preserve"> alkalmazott adómentessége alapján arra az álláspontra helyezkedett, hogy a felperes által fizetett összegek nem kamatnak minősülnek, így ráfordításként nem számolhatók el.</w:t>
      </w:r>
    </w:p>
    <w:p>
      <w:pPr>
        <w:jc w:val="left"/>
      </w:pPr>
      <w:r>
        <w:rPr>
          <w:vertAlign w:val="baseline"/>
        </w:rPr>
        <w:t xml:space="preserve">  </w:t>
      </w:r>
    </w:p>
    <w:p>
      <w:pPr>
        <w:jc w:val="both"/>
      </w:pPr>
      <w:r>
        <w:rPr>
          <w:vertAlign w:val="baseline"/>
        </w:rPr>
        <w:t xml:space="preserve">[52]</w:t>
      </w:r>
      <w:r>
        <w:rPr>
          <w:vertAlign w:val="baseline"/>
        </w:rPr>
        <w:t xml:space="preserve">        </w:t>
      </w:r>
      <w:r>
        <w:rPr>
          <w:vertAlign w:val="baseline"/>
        </w:rPr>
        <w:t xml:space="preserve">Álláspontja</w:t>
      </w:r>
      <w:r>
        <w:rPr>
          <w:vertAlign w:val="baseline"/>
        </w:rPr>
        <w:t xml:space="preserve"> alátámasztásaként az </w:t>
      </w:r>
      <w:r>
        <w:rPr>
          <w:vertAlign w:val="baseline"/>
        </w:rPr>
        <w:t xml:space="preserve">Egyezmény,</w:t>
      </w:r>
      <w:r>
        <w:rPr>
          <w:vertAlign w:val="baseline"/>
        </w:rPr>
        <w:t xml:space="preserve"> a </w:t>
      </w:r>
      <w:r>
        <w:rPr>
          <w:vertAlign w:val="baseline"/>
        </w:rPr>
        <w:t xml:space="preserve">Kamat</w:t>
      </w:r>
      <w:r>
        <w:rPr>
          <w:vertAlign w:val="baseline"/>
        </w:rPr>
        <w:t xml:space="preserve">-jogdíj </w:t>
      </w:r>
      <w:r>
        <w:rPr>
          <w:vertAlign w:val="baseline"/>
        </w:rPr>
        <w:t xml:space="preserve">Irányelv,</w:t>
      </w:r>
      <w:r>
        <w:rPr>
          <w:vertAlign w:val="baseline"/>
        </w:rPr>
        <w:t xml:space="preserve"> az </w:t>
      </w:r>
      <w:r>
        <w:rPr>
          <w:vertAlign w:val="baseline"/>
        </w:rPr>
        <w:t xml:space="preserve">OECD Modellegyezmény</w:t>
      </w:r>
      <w:r>
        <w:rPr>
          <w:vertAlign w:val="baseline"/>
        </w:rPr>
        <w:t xml:space="preserve"> és </w:t>
      </w:r>
      <w:r>
        <w:rPr>
          <w:vertAlign w:val="baseline"/>
        </w:rPr>
        <w:t xml:space="preserve">Kommentárja</w:t>
      </w:r>
      <w:r>
        <w:rPr>
          <w:vertAlign w:val="baseline"/>
        </w:rPr>
        <w:t xml:space="preserve"> megfelelő rendelkezéseire hivatkozott, ezért a </w:t>
      </w:r>
      <w:r>
        <w:rPr>
          <w:vertAlign w:val="baseline"/>
        </w:rPr>
        <w:t xml:space="preserve">Kúria</w:t>
      </w:r>
      <w:r>
        <w:rPr>
          <w:vertAlign w:val="baseline"/>
        </w:rPr>
        <w:t xml:space="preserve"> vizsgálta, hogy a perbeli kamat elszámolása körében ezen nemzetközi joganyag mennyiben alkalmazható.</w:t>
      </w:r>
    </w:p>
    <w:p>
      <w:pPr>
        <w:jc w:val="left"/>
      </w:pPr>
      <w:r>
        <w:rPr>
          <w:vertAlign w:val="baseline"/>
        </w:rPr>
        <w:t xml:space="preserve">  </w:t>
      </w:r>
    </w:p>
    <w:p>
      <w:pPr>
        <w:jc w:val="both"/>
      </w:pPr>
      <w:r>
        <w:rPr>
          <w:vertAlign w:val="baseline"/>
        </w:rPr>
        <w:t xml:space="preserve">[53]</w:t>
      </w:r>
      <w:r>
        <w:rPr>
          <w:vertAlign w:val="baseline"/>
        </w:rPr>
        <w:t xml:space="preserve">        </w:t>
      </w:r>
      <w:r>
        <w:rPr>
          <w:vertAlign w:val="baseline"/>
        </w:rPr>
        <w:t xml:space="preserve">A </w:t>
      </w:r>
      <w:r>
        <w:rPr>
          <w:vertAlign w:val="baseline"/>
        </w:rPr>
        <w:t xml:space="preserve">Kúria</w:t>
      </w:r>
      <w:r>
        <w:rPr>
          <w:vertAlign w:val="baseline"/>
        </w:rPr>
        <w:t xml:space="preserve"> mindenekelőtt az </w:t>
      </w:r>
      <w:r>
        <w:rPr>
          <w:vertAlign w:val="baseline"/>
        </w:rPr>
        <w:t xml:space="preserve">OECD Transzferár Irányelvek,</w:t>
      </w:r>
      <w:r>
        <w:rPr>
          <w:vertAlign w:val="baseline"/>
        </w:rPr>
        <w:t xml:space="preserve"> illetve az alperes és az elsőfokú bíróság által hivatkozott </w:t>
      </w:r>
      <w:r>
        <w:rPr>
          <w:vertAlign w:val="baseline"/>
        </w:rPr>
        <w:t xml:space="preserve">Kommentár,</w:t>
      </w:r>
      <w:r>
        <w:rPr>
          <w:vertAlign w:val="baseline"/>
        </w:rPr>
        <w:t xml:space="preserve"> továbbá az </w:t>
      </w:r>
      <w:r>
        <w:rPr>
          <w:vertAlign w:val="baseline"/>
        </w:rPr>
        <w:t xml:space="preserve">OECD Modellegyezmények</w:t>
      </w:r>
      <w:r>
        <w:rPr>
          <w:vertAlign w:val="baseline"/>
        </w:rPr>
        <w:t xml:space="preserve"> alkalmazásának lehetőségét vizsgálta.</w:t>
      </w:r>
    </w:p>
    <w:p>
      <w:pPr>
        <w:jc w:val="left"/>
      </w:pPr>
      <w:r>
        <w:rPr>
          <w:vertAlign w:val="baseline"/>
        </w:rPr>
        <w:t xml:space="preserve">  </w:t>
      </w:r>
    </w:p>
    <w:p>
      <w:pPr>
        <w:jc w:val="both"/>
      </w:pPr>
      <w:r>
        <w:rPr>
          <w:vertAlign w:val="baseline"/>
        </w:rPr>
        <w:t xml:space="preserve">[54]</w:t>
      </w:r>
      <w:r>
        <w:rPr>
          <w:vertAlign w:val="baseline"/>
        </w:rPr>
        <w:t xml:space="preserve">        </w:t>
      </w:r>
      <w:r>
        <w:rPr>
          <w:vertAlign w:val="baseline"/>
        </w:rPr>
        <w:t xml:space="preserve">Az OECD</w:t>
      </w:r>
      <w:r>
        <w:rPr>
          <w:vertAlign w:val="baseline"/>
        </w:rPr>
        <w:t xml:space="preserve"> (Organisation for </w:t>
      </w:r>
      <w:r>
        <w:rPr>
          <w:vertAlign w:val="baseline"/>
        </w:rPr>
        <w:t xml:space="preserve">Economic Co</w:t>
      </w:r>
      <w:r>
        <w:rPr>
          <w:vertAlign w:val="baseline"/>
        </w:rPr>
        <w:t xml:space="preserve">-operation and </w:t>
      </w:r>
      <w:r>
        <w:rPr>
          <w:vertAlign w:val="baseline"/>
        </w:rPr>
        <w:t xml:space="preserve">Development</w:t>
      </w:r>
      <w:r>
        <w:rPr>
          <w:vertAlign w:val="baseline"/>
        </w:rPr>
        <w:t xml:space="preserve"> - </w:t>
      </w:r>
      <w:r>
        <w:rPr>
          <w:vertAlign w:val="baseline"/>
        </w:rPr>
        <w:t xml:space="preserve">Gazdasági Együttműködési</w:t>
      </w:r>
      <w:r>
        <w:rPr>
          <w:vertAlign w:val="baseline"/>
        </w:rPr>
        <w:t xml:space="preserve"> és </w:t>
      </w:r>
      <w:r>
        <w:rPr>
          <w:vertAlign w:val="baseline"/>
        </w:rPr>
        <w:t xml:space="preserve">Fejlesztési Szervezet</w:t>
      </w:r>
      <w:r>
        <w:rPr>
          <w:vertAlign w:val="baseline"/>
        </w:rPr>
        <w:t xml:space="preserve">) globális koordinatív szervezet, amelynek célja a tagállamok gazdasági, kereskedelmi és pénzügyi tevékenységének összehangolása. Pénzforrásokkal, nemzetek feletti jogkörrel, szankcionálási joggal nem rendelkezik, döntéseit konszenzussal hozza és a részes államok kormányait segíti a lehető legjobb gazdasági és szociális politika kialakításában és értékelésében globális kormányközi konzultációs lehetőség biztosításával. Az </w:t>
      </w:r>
      <w:r>
        <w:rPr>
          <w:vertAlign w:val="baseline"/>
        </w:rPr>
        <w:t xml:space="preserve">OECD Modellegyezmény</w:t>
      </w:r>
      <w:r>
        <w:rPr>
          <w:vertAlign w:val="baseline"/>
        </w:rPr>
        <w:t xml:space="preserve"> arra szolgál, hogy az államok a bilaterális nemzetközi egyezményeiket annak figyelembe vételével kössék meg, amely által ezek az egyezmények sok kérdésben azonos rendelkezéseket tartalmaznak. Magyarország 1996-ban lett az </w:t>
      </w:r>
      <w:r>
        <w:rPr>
          <w:vertAlign w:val="baseline"/>
        </w:rPr>
        <w:t xml:space="preserve">OECD</w:t>
      </w:r>
      <w:r>
        <w:rPr>
          <w:vertAlign w:val="baseline"/>
        </w:rPr>
        <w:t xml:space="preserve"> tagja, [1998. évi </w:t>
      </w:r>
      <w:r>
        <w:rPr>
          <w:vertAlign w:val="baseline"/>
        </w:rPr>
        <w:t xml:space="preserve">XV.</w:t>
      </w:r>
      <w:r>
        <w:rPr>
          <w:vertAlign w:val="baseline"/>
        </w:rPr>
        <w:t xml:space="preserve"> törvény a </w:t>
      </w:r>
      <w:r>
        <w:rPr>
          <w:vertAlign w:val="baseline"/>
        </w:rPr>
        <w:t xml:space="preserve">Gazdasági Együttműködési</w:t>
      </w:r>
      <w:r>
        <w:rPr>
          <w:vertAlign w:val="baseline"/>
        </w:rPr>
        <w:t xml:space="preserve"> és </w:t>
      </w:r>
      <w:r>
        <w:rPr>
          <w:vertAlign w:val="baseline"/>
        </w:rPr>
        <w:t xml:space="preserve">Fejlesztési Szervezet</w:t>
      </w:r>
      <w:r>
        <w:rPr>
          <w:vertAlign w:val="baseline"/>
        </w:rPr>
        <w:t xml:space="preserve"> (OECD) </w:t>
      </w:r>
      <w:r>
        <w:rPr>
          <w:vertAlign w:val="baseline"/>
        </w:rPr>
        <w:t xml:space="preserve">Konvenciójának,</w:t>
      </w:r>
      <w:r>
        <w:rPr>
          <w:vertAlign w:val="baseline"/>
        </w:rPr>
        <w:t xml:space="preserve"> az ahhoz kapcsolódó jegyzőkönyveknek és a csatlakozási nyilatkozatnak a kihirdetéséről] alappal feltételezhető, hogy a </w:t>
      </w:r>
      <w:r>
        <w:rPr>
          <w:vertAlign w:val="baseline"/>
        </w:rPr>
        <w:t xml:space="preserve">Holland Királysággal</w:t>
      </w:r>
      <w:r>
        <w:rPr>
          <w:vertAlign w:val="baseline"/>
        </w:rPr>
        <w:t xml:space="preserve"> megkötött </w:t>
      </w:r>
      <w:r>
        <w:rPr>
          <w:vertAlign w:val="baseline"/>
        </w:rPr>
        <w:t xml:space="preserve">Egyezmény</w:t>
      </w:r>
      <w:r>
        <w:rPr>
          <w:vertAlign w:val="baseline"/>
        </w:rPr>
        <w:t xml:space="preserve"> rendelkezései kialakításánál a </w:t>
      </w:r>
      <w:r>
        <w:rPr>
          <w:vertAlign w:val="baseline"/>
        </w:rPr>
        <w:t xml:space="preserve">Modellegyezményt</w:t>
      </w:r>
      <w:r>
        <w:rPr>
          <w:vertAlign w:val="baseline"/>
        </w:rPr>
        <w:t xml:space="preserve"> a kormányok felhasználták. A </w:t>
      </w:r>
      <w:r>
        <w:rPr>
          <w:vertAlign w:val="baseline"/>
        </w:rPr>
        <w:t xml:space="preserve">Modellegyezményhez</w:t>
      </w:r>
      <w:r>
        <w:rPr>
          <w:vertAlign w:val="baseline"/>
        </w:rPr>
        <w:t xml:space="preserve"> két kiemelt területen – a transzferárazás körében irányelvek, a telephelynek tulajdonítható nyereség meghatározását illetően pedig </w:t>
      </w:r>
      <w:r>
        <w:rPr>
          <w:vertAlign w:val="baseline"/>
        </w:rPr>
        <w:t xml:space="preserve">Jelentés</w:t>
      </w:r>
      <w:r>
        <w:rPr>
          <w:vertAlign w:val="baseline"/>
        </w:rPr>
        <w:t xml:space="preserve"> kapcsolódik.</w:t>
      </w:r>
    </w:p>
    <w:p>
      <w:pPr>
        <w:jc w:val="left"/>
      </w:pPr>
      <w:r>
        <w:rPr>
          <w:vertAlign w:val="baseline"/>
        </w:rPr>
        <w:t xml:space="preserve">  </w:t>
      </w:r>
    </w:p>
    <w:p>
      <w:pPr>
        <w:jc w:val="both"/>
      </w:pPr>
      <w:r>
        <w:rPr>
          <w:vertAlign w:val="baseline"/>
        </w:rPr>
        <w:t xml:space="preserve">[55]</w:t>
      </w:r>
      <w:r>
        <w:rPr>
          <w:vertAlign w:val="baseline"/>
        </w:rPr>
        <w:t xml:space="preserve">        </w:t>
      </w:r>
      <w:r>
        <w:rPr>
          <w:vertAlign w:val="baseline"/>
        </w:rPr>
        <w:t xml:space="preserve">A </w:t>
      </w:r>
      <w:r>
        <w:rPr>
          <w:vertAlign w:val="baseline"/>
        </w:rPr>
        <w:t xml:space="preserve">Tao</w:t>
      </w:r>
      <w:r>
        <w:rPr>
          <w:vertAlign w:val="baseline"/>
        </w:rPr>
        <w:t xml:space="preserve"> tv. 31. § (2) bekezdés a) és b) pontja szerint a törvény az </w:t>
      </w:r>
      <w:r>
        <w:rPr>
          <w:vertAlign w:val="baseline"/>
        </w:rPr>
        <w:t xml:space="preserve">OECD Konvenciójának,</w:t>
      </w:r>
      <w:r>
        <w:rPr>
          <w:vertAlign w:val="baseline"/>
        </w:rPr>
        <w:t xml:space="preserve"> az ahhoz kapcsolódó jegyzőkönyveknek és a csatlakozási nyilatkozatoknak megfelelően a jövedelem- és vagyonadókra vonatkozó modellegyezmény és a nemzetközi vállalkozások és az adóhatóságok részére készült, a kapcsolt vállalkozások közötti árak módosítására vonatkozó iránymutatás figyelembevételével készült szabályozást tartalmaz.</w:t>
      </w:r>
    </w:p>
    <w:p>
      <w:pPr>
        <w:jc w:val="left"/>
      </w:pPr>
      <w:r>
        <w:rPr>
          <w:vertAlign w:val="baseline"/>
        </w:rPr>
        <w:t xml:space="preserve">  </w:t>
      </w:r>
    </w:p>
    <w:p>
      <w:pPr>
        <w:jc w:val="both"/>
      </w:pPr>
      <w:r>
        <w:rPr>
          <w:vertAlign w:val="baseline"/>
        </w:rPr>
        <w:t xml:space="preserve">[56]</w:t>
      </w:r>
      <w:r>
        <w:rPr>
          <w:vertAlign w:val="baseline"/>
        </w:rPr>
        <w:t xml:space="preserve">        </w:t>
      </w:r>
      <w:r>
        <w:rPr>
          <w:vertAlign w:val="baseline"/>
        </w:rPr>
        <w:t xml:space="preserve">A perben hivatkozott „OECD transzferár irányelvek a multinacionális vállalkozások és az adóhatóságok számára – 2010” kiadvány az 1995-ben elfogadott irányelvek és azok módosításainak a </w:t>
      </w:r>
      <w:r>
        <w:rPr>
          <w:vertAlign w:val="baseline"/>
        </w:rPr>
        <w:t xml:space="preserve">Magyar Könyvvizsgálói Kamara</w:t>
      </w:r>
      <w:r>
        <w:rPr>
          <w:vertAlign w:val="baseline"/>
        </w:rPr>
        <w:t xml:space="preserve"> megbízásából készített, nem hivatalos magyar nyelvű fordítása, és mint ilyen, szakirodalmi műnek minősül, mint ahogy a </w:t>
      </w:r>
      <w:r>
        <w:rPr>
          <w:vertAlign w:val="baseline"/>
        </w:rPr>
        <w:t xml:space="preserve">Kommentár</w:t>
      </w:r>
      <w:r>
        <w:rPr>
          <w:vertAlign w:val="baseline"/>
        </w:rPr>
        <w:t xml:space="preserve"> is. Az azokban foglaltakra közvetlenül adókötelezettség nem alapítható, a jogalkotó által lényegesnek ítélt tartalom a </w:t>
      </w:r>
      <w:r>
        <w:rPr>
          <w:vertAlign w:val="baseline"/>
        </w:rPr>
        <w:t xml:space="preserve">Tao</w:t>
      </w:r>
      <w:r>
        <w:rPr>
          <w:vertAlign w:val="baseline"/>
        </w:rPr>
        <w:t xml:space="preserve"> tv.-ben megjelenik.</w:t>
      </w:r>
    </w:p>
    <w:p>
      <w:pPr>
        <w:jc w:val="left"/>
      </w:pPr>
      <w:r>
        <w:rPr>
          <w:vertAlign w:val="baseline"/>
        </w:rPr>
        <w:t xml:space="preserve">  </w:t>
      </w:r>
    </w:p>
    <w:p>
      <w:pPr>
        <w:jc w:val="both"/>
      </w:pPr>
      <w:r>
        <w:rPr>
          <w:vertAlign w:val="baseline"/>
        </w:rPr>
        <w:t xml:space="preserve">[57]</w:t>
      </w:r>
      <w:r>
        <w:rPr>
          <w:vertAlign w:val="baseline"/>
        </w:rPr>
        <w:t xml:space="preserve">        </w:t>
      </w:r>
      <w:r>
        <w:rPr>
          <w:vertAlign w:val="baseline"/>
        </w:rPr>
        <w:t xml:space="preserve">A </w:t>
      </w:r>
      <w:r>
        <w:rPr>
          <w:vertAlign w:val="baseline"/>
        </w:rPr>
        <w:t xml:space="preserve">Tao</w:t>
      </w:r>
      <w:r>
        <w:rPr>
          <w:vertAlign w:val="baseline"/>
        </w:rPr>
        <w:t xml:space="preserve"> tv. tárgyidőszakban </w:t>
      </w:r>
      <w:r>
        <w:rPr>
          <w:vertAlign w:val="baseline"/>
        </w:rPr>
        <w:t xml:space="preserve">(2011-2012.)</w:t>
      </w:r>
      <w:r>
        <w:rPr>
          <w:vertAlign w:val="baseline"/>
        </w:rPr>
        <w:t xml:space="preserve"> hatályos 1. § (4) bekezdése értelmében a nemzetközi szerződés előírását kell alkalmazni, amennyiben törvénnyel vagy kormányrendelettel kihirdetett nemzetközi szerződés e törvénytől eltérő előírást tartalmaz. E törvénytől viszonosság alapján is helye van eltérésnek, de a viszonosság alkalmazása az adózó számára nem eredményezhet a törvényben meghatározottakhoz képest kiterjesztő adókötelezettséget. A viszonosság kérdésében az adópolitikáért felelős miniszter állásfoglalása az irányadó.</w:t>
      </w:r>
    </w:p>
    <w:p>
      <w:pPr>
        <w:jc w:val="left"/>
      </w:pPr>
      <w:r>
        <w:rPr>
          <w:vertAlign w:val="baseline"/>
        </w:rPr>
        <w:t xml:space="preserve">  </w:t>
      </w:r>
    </w:p>
    <w:p>
      <w:pPr>
        <w:jc w:val="both"/>
      </w:pPr>
      <w:r>
        <w:rPr>
          <w:vertAlign w:val="baseline"/>
        </w:rPr>
        <w:t xml:space="preserve">[58]</w:t>
      </w:r>
      <w:r>
        <w:rPr>
          <w:vertAlign w:val="baseline"/>
        </w:rPr>
        <w:t xml:space="preserve">        </w:t>
      </w:r>
      <w:r>
        <w:rPr>
          <w:vertAlign w:val="baseline"/>
        </w:rPr>
        <w:t xml:space="preserve">A nemzetközi szerződés elsőbbségére tekintettel vizsgálandó, hogy perbeli adókötelezettség meghatározásakor alkalmazandó-e az </w:t>
      </w:r>
      <w:r>
        <w:rPr>
          <w:vertAlign w:val="baseline"/>
        </w:rPr>
        <w:t xml:space="preserve">Egyezmény,</w:t>
      </w:r>
      <w:r>
        <w:rPr>
          <w:vertAlign w:val="baseline"/>
        </w:rPr>
        <w:t xml:space="preserve"> ha igen, tartalmaz-e, és milyen</w:t>
      </w:r>
      <w:r>
        <w:rPr>
          <w:vertAlign w:val="baseline"/>
        </w:rPr>
        <w:t xml:space="preserve">  </w:t>
      </w:r>
      <w:r>
        <w:rPr>
          <w:vertAlign w:val="baseline"/>
        </w:rPr>
        <w:t xml:space="preserve">rendelkezéseket a per tárgyával kapcsolatban. A felperes felülvizsgálati kérelmében állította, hogy a </w:t>
      </w:r>
      <w:r>
        <w:rPr>
          <w:vertAlign w:val="baseline"/>
        </w:rPr>
        <w:t xml:space="preserve">Holland Királysággal</w:t>
      </w:r>
      <w:r>
        <w:rPr>
          <w:vertAlign w:val="baseline"/>
        </w:rPr>
        <w:t xml:space="preserve"> kötött nemzetközi adóegyezmény a perbeli jogkérdés eldöntésére nem alkalmazandó joganyag, az alperes és az elsőfokú bíróság ezzel ellentétes álláspontra helyezkedett.</w:t>
      </w:r>
    </w:p>
    <w:p>
      <w:pPr>
        <w:jc w:val="left"/>
      </w:pPr>
      <w:r>
        <w:rPr>
          <w:vertAlign w:val="baseline"/>
        </w:rPr>
        <w:t xml:space="preserve">  </w:t>
      </w:r>
    </w:p>
    <w:p>
      <w:pPr>
        <w:jc w:val="both"/>
      </w:pPr>
      <w:r>
        <w:rPr>
          <w:vertAlign w:val="baseline"/>
        </w:rPr>
        <w:t xml:space="preserve">[59]</w:t>
      </w:r>
      <w:r>
        <w:rPr>
          <w:vertAlign w:val="baseline"/>
        </w:rPr>
        <w:t xml:space="preserve">        </w:t>
      </w:r>
      <w:r>
        <w:rPr>
          <w:vertAlign w:val="baseline"/>
        </w:rPr>
        <w:t xml:space="preserve">Az Egyezmény</w:t>
      </w:r>
      <w:r>
        <w:rPr>
          <w:vertAlign w:val="baseline"/>
        </w:rPr>
        <w:t xml:space="preserve"> célja, hogy a vállalkozás kétszeres adóterhet ne viseljen ugyanazon jövedelme után, azaz az ún. jogi kettős adóztatást kiküszöbölje. Kettős adóztatás lehetősége abban az esetben merülhet fel, amikor egy magyar vállalkozásnak külföldről, illetve ha egy külföldi vállalkozásnak </w:t>
      </w:r>
      <w:r>
        <w:rPr>
          <w:vertAlign w:val="baseline"/>
        </w:rPr>
        <w:t xml:space="preserve">Magyarországról</w:t>
      </w:r>
      <w:r>
        <w:rPr>
          <w:vertAlign w:val="baseline"/>
        </w:rPr>
        <w:t xml:space="preserve"> származik jövedelme. Célja továbbá a két állam vonatkozásában a jövedelem adózás alóli elvonásának kiküszöbölése, az adókijátszás megakadályozása. Hangsúlyozni kell, hogy az </w:t>
      </w:r>
      <w:r>
        <w:rPr>
          <w:vertAlign w:val="baseline"/>
        </w:rPr>
        <w:t xml:space="preserve">Egyezmény</w:t>
      </w:r>
      <w:r>
        <w:rPr>
          <w:vertAlign w:val="baseline"/>
        </w:rPr>
        <w:t xml:space="preserve"> az adókijátszás vonatkozásában önálló rendelkezéseket nem tartalmaz. Az elsőfokú bíróság helytállóan állapította meg, hogy az </w:t>
      </w:r>
      <w:r>
        <w:rPr>
          <w:vertAlign w:val="baseline"/>
        </w:rPr>
        <w:t xml:space="preserve">Egyezmény</w:t>
      </w:r>
      <w:r>
        <w:rPr>
          <w:vertAlign w:val="baseline"/>
        </w:rPr>
        <w:t xml:space="preserve"> tárgyi hatálya a társasági adóra kiterjed, és a felperes, valamint a </w:t>
      </w:r>
      <w:r>
        <w:rPr>
          <w:vertAlign w:val="baseline"/>
        </w:rPr>
        <w:t xml:space="preserve">BV</w:t>
      </w:r>
      <w:r>
        <w:rPr>
          <w:vertAlign w:val="baseline"/>
        </w:rPr>
        <w:t xml:space="preserve"> </w:t>
      </w:r>
      <w:r>
        <w:rPr>
          <w:vertAlign w:val="baseline"/>
        </w:rPr>
        <w:t xml:space="preserve">a megszerzett jövedelmük révén</w:t>
      </w:r>
      <w:r>
        <w:rPr>
          <w:vertAlign w:val="baseline"/>
        </w:rPr>
        <w:t xml:space="preserve">  </w:t>
      </w:r>
      <w:r>
        <w:rPr>
          <w:vertAlign w:val="baseline"/>
        </w:rPr>
        <w:t xml:space="preserve">az </w:t>
      </w:r>
      <w:r>
        <w:rPr>
          <w:vertAlign w:val="baseline"/>
        </w:rPr>
        <w:t xml:space="preserve">Egyezmény</w:t>
      </w:r>
      <w:r>
        <w:rPr>
          <w:vertAlign w:val="baseline"/>
        </w:rPr>
        <w:t xml:space="preserve"> hatálya alá tartoznak. Ugyanakkor az elsőfokú bíróság figyelmen kívül hagyta azt a tényt, hogy a per eldöntendő kérdése a tao alapjának számítása volt, a felperes pedig a perbeli ügyletből jövedelmet a vizsgált években nem szerzett, az </w:t>
      </w:r>
      <w:r>
        <w:rPr>
          <w:vertAlign w:val="baseline"/>
        </w:rPr>
        <w:t xml:space="preserve">Egyezmény</w:t>
      </w:r>
      <w:r>
        <w:rPr>
          <w:vertAlign w:val="baseline"/>
        </w:rPr>
        <w:t xml:space="preserve"> viszont a jövedelem és a vagyon adóztatásának két állam közötti rendezését szolgálja. Az adóhatóság és az elsőfokú bíróság által felhívott 10-11. cikkek a kamat és az osztalékjövedelem adóztatását rendezik.</w:t>
      </w:r>
    </w:p>
    <w:p>
      <w:pPr>
        <w:jc w:val="left"/>
      </w:pPr>
      <w:r>
        <w:rPr>
          <w:vertAlign w:val="baseline"/>
        </w:rPr>
        <w:t xml:space="preserve">  </w:t>
      </w:r>
    </w:p>
    <w:p>
      <w:pPr>
        <w:jc w:val="both"/>
      </w:pPr>
      <w:r>
        <w:rPr>
          <w:vertAlign w:val="baseline"/>
        </w:rPr>
        <w:t xml:space="preserve">[60]</w:t>
      </w:r>
      <w:r>
        <w:rPr>
          <w:vertAlign w:val="baseline"/>
        </w:rPr>
        <w:t xml:space="preserve">        </w:t>
      </w:r>
      <w:r>
        <w:rPr>
          <w:vertAlign w:val="baseline"/>
        </w:rPr>
        <w:t xml:space="preserve">Az Egyezmény</w:t>
      </w:r>
      <w:r>
        <w:rPr>
          <w:vertAlign w:val="baseline"/>
        </w:rPr>
        <w:t xml:space="preserve"> 10. cikk 1. bekezdése főszabályként az osztalék másik államban - jelen esetben </w:t>
      </w:r>
      <w:r>
        <w:rPr>
          <w:vertAlign w:val="baseline"/>
        </w:rPr>
        <w:t xml:space="preserve">Hollandiában</w:t>
      </w:r>
      <w:r>
        <w:rPr>
          <w:vertAlign w:val="baseline"/>
        </w:rPr>
        <w:t xml:space="preserve"> - való adóztatását írja elő. A magyarországi adóztatás lehetőségét, illetve az adó maximumát 2. bekezdés szabályozza.</w:t>
      </w:r>
    </w:p>
    <w:p>
      <w:pPr>
        <w:jc w:val="left"/>
      </w:pPr>
      <w:r>
        <w:rPr>
          <w:vertAlign w:val="baseline"/>
        </w:rPr>
        <w:t xml:space="preserve">  </w:t>
      </w:r>
    </w:p>
    <w:p>
      <w:pPr>
        <w:jc w:val="both"/>
      </w:pPr>
      <w:r>
        <w:rPr>
          <w:vertAlign w:val="baseline"/>
        </w:rPr>
        <w:t xml:space="preserve">[61]</w:t>
      </w:r>
      <w:r>
        <w:rPr>
          <w:vertAlign w:val="baseline"/>
        </w:rPr>
        <w:t xml:space="preserve">        </w:t>
      </w:r>
      <w:r>
        <w:rPr>
          <w:vertAlign w:val="baseline"/>
        </w:rPr>
        <w:t xml:space="preserve">A perbeli esetben az adóhatóság osztalék jellegűnek minősítette a felperes által fizetett kamatot, azonban megállapításai nem az osztalék adóztatására, hanem a költségek elszámolhatóságára, vagyis a tao alapjára vonatkoztak. Az osztalékot a társaság az adózott jövedelméből fizeti, a kamat ráfordításként való elszámolhatóságát az osztalék adóztatásától meg kell különböztetni. Az adóalap megállapítása megelőzi az osztalék adóztatásának vizsgálatát, és az </w:t>
      </w:r>
      <w:r>
        <w:rPr>
          <w:vertAlign w:val="baseline"/>
        </w:rPr>
        <w:t xml:space="preserve">Egyezmény</w:t>
      </w:r>
      <w:r>
        <w:rPr>
          <w:vertAlign w:val="baseline"/>
        </w:rPr>
        <w:t xml:space="preserve"> 10. cikk 4. bekezdésében pedig kifejezetten rendelkezik arról, hogy a 2. bekezdés rendelkezései nem érintik a társaság adóztatását azon nyereség után, amelyből az osztalékot fizetik. Ezért a 10. cikk rendelkezései – köztük az elsőfokú bíróság által megjelölt, az osztalék fogalmára vonatkozó 5. bekezdés – a perbeli adóalap </w:t>
      </w:r>
      <w:r>
        <w:rPr>
          <w:vertAlign w:val="baseline"/>
        </w:rPr>
        <w:t xml:space="preserve">meghatározásakor nem relevánsak.</w:t>
      </w:r>
    </w:p>
    <w:p>
      <w:pPr>
        <w:jc w:val="left"/>
      </w:pPr>
      <w:r>
        <w:rPr>
          <w:vertAlign w:val="baseline"/>
        </w:rPr>
        <w:t xml:space="preserve">  </w:t>
      </w:r>
    </w:p>
    <w:p>
      <w:pPr>
        <w:jc w:val="both"/>
      </w:pPr>
      <w:r>
        <w:rPr>
          <w:vertAlign w:val="baseline"/>
        </w:rPr>
        <w:t xml:space="preserve">[62]</w:t>
      </w:r>
      <w:r>
        <w:rPr>
          <w:vertAlign w:val="baseline"/>
        </w:rPr>
        <w:t xml:space="preserve">        </w:t>
      </w:r>
      <w:r>
        <w:rPr>
          <w:vertAlign w:val="baseline"/>
        </w:rPr>
        <w:t xml:space="preserve">Az Egyezmény</w:t>
      </w:r>
      <w:r>
        <w:rPr>
          <w:vertAlign w:val="baseline"/>
        </w:rPr>
        <w:t xml:space="preserve"> 11. cikke vonatkozik a kamatjövedelem adóztatására:</w:t>
      </w:r>
    </w:p>
    <w:p>
      <w:pPr>
        <w:jc w:val="left"/>
      </w:pPr>
      <w:r>
        <w:rPr>
          <w:vertAlign w:val="baseline"/>
        </w:rPr>
        <w:t xml:space="preserve">  </w:t>
      </w:r>
    </w:p>
    <w:p>
      <w:pPr>
        <w:jc w:val="both"/>
      </w:pPr>
      <w:r>
        <w:rPr>
          <w:i/>
          <w:vertAlign w:val="baseline"/>
        </w:rPr>
        <w:t xml:space="preserve">„1. A kamat, amely az egyik </w:t>
      </w:r>
      <w:r>
        <w:rPr>
          <w:i/>
          <w:vertAlign w:val="baseline"/>
        </w:rPr>
        <w:t xml:space="preserve">Államból</w:t>
      </w:r>
      <w:r>
        <w:rPr>
          <w:i/>
          <w:vertAlign w:val="baseline"/>
        </w:rPr>
        <w:t xml:space="preserve"> származik, és amelyet a másik </w:t>
      </w:r>
      <w:r>
        <w:rPr>
          <w:i/>
          <w:vertAlign w:val="baseline"/>
        </w:rPr>
        <w:t xml:space="preserve">Államban</w:t>
      </w:r>
      <w:r>
        <w:rPr>
          <w:i/>
          <w:vertAlign w:val="baseline"/>
        </w:rPr>
        <w:t xml:space="preserve"> illetőséggel bíró személynek fizetnek, csak ebben a másik </w:t>
      </w:r>
      <w:r>
        <w:rPr>
          <w:i/>
          <w:vertAlign w:val="baseline"/>
        </w:rPr>
        <w:t xml:space="preserve">Államban</w:t>
      </w:r>
      <w:r>
        <w:rPr>
          <w:i/>
          <w:vertAlign w:val="baseline"/>
        </w:rPr>
        <w:t xml:space="preserve"> adóztatható, ha ez a személy a kamat haszonhúzója. 2. Az </w:t>
      </w:r>
      <w:r>
        <w:rPr>
          <w:i/>
          <w:vertAlign w:val="baseline"/>
        </w:rPr>
        <w:t xml:space="preserve">Államok</w:t>
      </w:r>
      <w:r>
        <w:rPr>
          <w:i/>
          <w:vertAlign w:val="baseline"/>
        </w:rPr>
        <w:t xml:space="preserve"> illetékes hatóságai kölcsönös egyetértéssel rendezik azt, hogy az az </w:t>
      </w:r>
      <w:r>
        <w:rPr>
          <w:i/>
          <w:vertAlign w:val="baseline"/>
        </w:rPr>
        <w:t xml:space="preserve">Állam,</w:t>
      </w:r>
      <w:r>
        <w:rPr>
          <w:i/>
          <w:vertAlign w:val="baseline"/>
        </w:rPr>
        <w:t xml:space="preserve"> amelyből a kamat származik, milyen módon mond le az adóztatásról. 3. Az e cikkben használt „kamat” kifejezés mindenfajta követelésből származó jövedelmet jelent, akár biztosítva van jelzálogjoggal, akár nem, de nem ad jogot az adós nyereségeiben való részesedésre, különösen pedig állami kölcsönökből és kötvényekből vagy adósságlevelekből származó jövedelmet jelent, beleértve az ilyen kölcsönökhöz, kötvényekhez vagy adósságlevelekhez kapcsolódó prémiumot és jutalmat. 4. Az 1. bekezdés rendelkezései nem alkalmazandók, ha a kamat egyik </w:t>
      </w:r>
      <w:r>
        <w:rPr>
          <w:i/>
          <w:vertAlign w:val="baseline"/>
        </w:rPr>
        <w:t xml:space="preserve">Államban</w:t>
      </w:r>
      <w:r>
        <w:rPr>
          <w:i/>
          <w:vertAlign w:val="baseline"/>
        </w:rPr>
        <w:t xml:space="preserve"> illetőséggel bíró haszonhúzója a másik </w:t>
      </w:r>
      <w:r>
        <w:rPr>
          <w:i/>
          <w:vertAlign w:val="baseline"/>
        </w:rPr>
        <w:t xml:space="preserve">Államban,</w:t>
      </w:r>
      <w:r>
        <w:rPr>
          <w:i/>
          <w:vertAlign w:val="baseline"/>
        </w:rPr>
        <w:t xml:space="preserve"> amelyből a kamat származik, egy ott levő telephely útján tevékenységet fejt ki, vagy egy ott levő állandó berendezés segítségével szabad foglalkozást űz és a követelés, amely után a kamatot fizetik, ténylegesen ehhez a telephelyhez vagy állandó berendezéshez tartozik. Ebben az esetben a 7. cikk vagy a 14. cikk rendelkezései nyernek, az esettől függően, alkalmazást. 5. Ha a kamatot fizető személy és a kamat haszonhúzója vagy mindkettő és egy másik személy között különleges kapcsolatok állnak fenn és emiatt a kamat összege azon követeléshez mérten, amely után fizetik, meghaladja azt az összeget, amelyben a kamatot fizető és a kamat haszonhúzója ilyen kapcsolatok nélkül megállapodtak volna, úgy e cikk rendelkezéseit csak az utóbb említett összegre kell alkalmazni. Ebben az esetben a többletösszeg mindegyik </w:t>
      </w:r>
      <w:r>
        <w:rPr>
          <w:i/>
          <w:vertAlign w:val="baseline"/>
        </w:rPr>
        <w:t xml:space="preserve">Állam</w:t>
      </w:r>
      <w:r>
        <w:rPr>
          <w:i/>
          <w:vertAlign w:val="baseline"/>
        </w:rPr>
        <w:t xml:space="preserve"> jogszabályai szerint és az </w:t>
      </w:r>
      <w:r>
        <w:rPr>
          <w:i/>
          <w:vertAlign w:val="baseline"/>
        </w:rPr>
        <w:t xml:space="preserve">Egyezmény</w:t>
      </w:r>
      <w:r>
        <w:rPr>
          <w:i/>
          <w:vertAlign w:val="baseline"/>
        </w:rPr>
        <w:t xml:space="preserve"> más rendelkezéseinek figyelembevételével adóztatható.”</w:t>
      </w:r>
    </w:p>
    <w:p>
      <w:pPr>
        <w:jc w:val="left"/>
      </w:pPr>
      <w:r>
        <w:rPr>
          <w:vertAlign w:val="baseline"/>
        </w:rPr>
        <w:t xml:space="preserve">  </w:t>
      </w:r>
    </w:p>
    <w:p>
      <w:pPr>
        <w:jc w:val="both"/>
      </w:pPr>
      <w:r>
        <w:rPr>
          <w:vertAlign w:val="baseline"/>
        </w:rPr>
        <w:t xml:space="preserve">[63]</w:t>
      </w:r>
      <w:r>
        <w:rPr>
          <w:vertAlign w:val="baseline"/>
        </w:rPr>
        <w:t xml:space="preserve">        </w:t>
      </w:r>
      <w:r>
        <w:rPr>
          <w:vertAlign w:val="baseline"/>
        </w:rPr>
        <w:t xml:space="preserve">A per tárgya nem a kamatjövedelem adóztatása, hanem az adóalap meghatározása volt, a kamatjövedelem adóztatására vonatkozó 10. cikk ezért nem releváns. A 10. cikk 2. bekezdése szerint az államoknak egyeztetniük kell arról, hogy milyen módon mondanak le annak a jövedelemnek az adóztatásáról, amelyből a kamat származik. A perben nem merült fel adat arra vonatkozóan, hogy a részes államok között ilyen tartalmú egyeztetés lezajlott volna. Rámutat ugyanakkor a </w:t>
      </w:r>
      <w:r>
        <w:rPr>
          <w:vertAlign w:val="baseline"/>
        </w:rPr>
        <w:t xml:space="preserve">Kúria,</w:t>
      </w:r>
      <w:r>
        <w:rPr>
          <w:vertAlign w:val="baseline"/>
        </w:rPr>
        <w:t xml:space="preserve"> hogy az </w:t>
      </w:r>
      <w:r>
        <w:rPr>
          <w:vertAlign w:val="baseline"/>
        </w:rPr>
        <w:t xml:space="preserve">Egyezmény</w:t>
      </w:r>
      <w:r>
        <w:rPr>
          <w:vertAlign w:val="baseline"/>
        </w:rPr>
        <w:t xml:space="preserve"> a 25. cikk 3. bekezdésében az egyenlő elbánás körében kimondja, hogy „ </w:t>
      </w:r>
      <w:r>
        <w:rPr>
          <w:i/>
          <w:vertAlign w:val="baseline"/>
        </w:rPr>
        <w:t xml:space="preserve">Kivéve</w:t>
      </w:r>
      <w:r>
        <w:rPr>
          <w:i/>
          <w:vertAlign w:val="baseline"/>
        </w:rPr>
        <w:t xml:space="preserve"> azt az esetet, amikor a 9. cikk 1. bekezdésének, a 11. cikk 5. bekezdésének, vagy a 12. cikk 5. bekezdésének rendelkezései nyernek alkalmazást, az egyik </w:t>
      </w:r>
      <w:r>
        <w:rPr>
          <w:i/>
          <w:vertAlign w:val="baseline"/>
        </w:rPr>
        <w:t xml:space="preserve">Állam</w:t>
      </w:r>
      <w:r>
        <w:rPr>
          <w:i/>
          <w:vertAlign w:val="baseline"/>
        </w:rPr>
        <w:t xml:space="preserve"> vállalkozása által a másik </w:t>
      </w:r>
      <w:r>
        <w:rPr>
          <w:i/>
          <w:vertAlign w:val="baseline"/>
        </w:rPr>
        <w:t xml:space="preserve">Államban</w:t>
      </w:r>
      <w:r>
        <w:rPr>
          <w:i/>
          <w:vertAlign w:val="baseline"/>
        </w:rPr>
        <w:t xml:space="preserve"> illetőséggel bíró személynek fizetett kamat, licencdíj és más költség ugyanolyan feltételek mellett levonható e vállalkozás adóztatható nyereségének megállapításánál, mintha azokat az először említett </w:t>
      </w:r>
      <w:r>
        <w:rPr>
          <w:i/>
          <w:vertAlign w:val="baseline"/>
        </w:rPr>
        <w:t xml:space="preserve">Államban</w:t>
      </w:r>
      <w:r>
        <w:rPr>
          <w:i/>
          <w:vertAlign w:val="baseline"/>
        </w:rPr>
        <w:t xml:space="preserve"> illetőséggel bíró személy részére fizették volna.</w:t>
      </w:r>
      <w:r>
        <w:rPr>
          <w:vertAlign w:val="baseline"/>
        </w:rPr>
        <w:t xml:space="preserve">” </w:t>
      </w:r>
      <w:r>
        <w:rPr>
          <w:vertAlign w:val="baseline"/>
        </w:rPr>
        <w:t xml:space="preserve">Ennek</w:t>
      </w:r>
      <w:r>
        <w:rPr>
          <w:vertAlign w:val="baseline"/>
        </w:rPr>
        <w:t xml:space="preserve"> megfelelően az adóalap a tárgyi ügyletre tekintettel akkor módosítható, amennyiben azonos feltételek mellett a belföldi személyeknek fizetett kamat esetén is ugyanígy járnánk el.</w:t>
      </w:r>
    </w:p>
    <w:p>
      <w:pPr>
        <w:jc w:val="left"/>
      </w:pPr>
      <w:r>
        <w:rPr>
          <w:vertAlign w:val="baseline"/>
        </w:rPr>
        <w:t xml:space="preserve">  </w:t>
      </w:r>
    </w:p>
    <w:p>
      <w:pPr>
        <w:jc w:val="both"/>
      </w:pPr>
      <w:r>
        <w:rPr>
          <w:vertAlign w:val="baseline"/>
        </w:rPr>
        <w:t xml:space="preserve">[64]</w:t>
      </w:r>
      <w:r>
        <w:rPr>
          <w:vertAlign w:val="baseline"/>
        </w:rPr>
        <w:t xml:space="preserve">        </w:t>
      </w:r>
      <w:r>
        <w:rPr>
          <w:vertAlign w:val="baseline"/>
        </w:rPr>
        <w:t xml:space="preserve">A </w:t>
      </w:r>
      <w:r>
        <w:rPr>
          <w:vertAlign w:val="baseline"/>
        </w:rPr>
        <w:t xml:space="preserve">Kúria</w:t>
      </w:r>
      <w:r>
        <w:rPr>
          <w:vertAlign w:val="baseline"/>
        </w:rPr>
        <w:t xml:space="preserve"> mindezek alapján megállapította, hogy a felperes megalapozottan állította, hogy az</w:t>
      </w:r>
      <w:r>
        <w:rPr>
          <w:vertAlign w:val="baseline"/>
        </w:rPr>
        <w:t xml:space="preserve"> </w:t>
      </w:r>
      <w:r>
        <w:rPr>
          <w:vertAlign w:val="baseline"/>
        </w:rPr>
        <w:t xml:space="preserve">Egyezményben</w:t>
      </w:r>
      <w:r>
        <w:rPr>
          <w:vertAlign w:val="baseline"/>
        </w:rPr>
        <w:t xml:space="preserve"> foglalt adóztatandó tényállások nem azonosíthatók a perbelivel, az </w:t>
      </w:r>
      <w:r>
        <w:rPr>
          <w:vertAlign w:val="baseline"/>
        </w:rPr>
        <w:t xml:space="preserve">Egyezmény</w:t>
      </w:r>
      <w:r>
        <w:rPr>
          <w:vertAlign w:val="baseline"/>
        </w:rPr>
        <w:t xml:space="preserve"> rendelkezéseire az ügyben adókötelezettség nem alapozható. Ennek megfelelően a </w:t>
      </w:r>
      <w:r>
        <w:rPr>
          <w:vertAlign w:val="baseline"/>
        </w:rPr>
        <w:t xml:space="preserve">Tao</w:t>
      </w:r>
      <w:r>
        <w:rPr>
          <w:vertAlign w:val="baseline"/>
        </w:rPr>
        <w:t xml:space="preserve"> tv. 1. § (4) bekezdése értelmében a felperes adókötelezettségét nem a kétoldalú nemzetközi szerződés, azaz az </w:t>
      </w:r>
      <w:r>
        <w:rPr>
          <w:vertAlign w:val="baseline"/>
        </w:rPr>
        <w:t xml:space="preserve">Egyezmény,</w:t>
      </w:r>
      <w:r>
        <w:rPr>
          <w:vertAlign w:val="baseline"/>
        </w:rPr>
        <w:t xml:space="preserve"> hanem a </w:t>
      </w:r>
      <w:r>
        <w:rPr>
          <w:vertAlign w:val="baseline"/>
        </w:rPr>
        <w:t xml:space="preserve">Tao</w:t>
      </w:r>
      <w:r>
        <w:rPr>
          <w:vertAlign w:val="baseline"/>
        </w:rPr>
        <w:t xml:space="preserve"> tv. rendelkezései alapján kellett megállapítani.</w:t>
      </w:r>
    </w:p>
    <w:p>
      <w:pPr>
        <w:jc w:val="left"/>
      </w:pPr>
      <w:r>
        <w:rPr>
          <w:vertAlign w:val="baseline"/>
        </w:rPr>
        <w:t xml:space="preserve">  </w:t>
      </w:r>
    </w:p>
    <w:p>
      <w:pPr>
        <w:jc w:val="both"/>
      </w:pPr>
      <w:r>
        <w:rPr>
          <w:vertAlign w:val="baseline"/>
        </w:rPr>
        <w:t xml:space="preserve">[65]</w:t>
      </w:r>
      <w:r>
        <w:rPr>
          <w:vertAlign w:val="baseline"/>
        </w:rPr>
        <w:t xml:space="preserve">        </w:t>
      </w:r>
      <w:r>
        <w:rPr>
          <w:vertAlign w:val="baseline"/>
        </w:rPr>
        <w:t xml:space="preserve">A </w:t>
      </w:r>
      <w:r>
        <w:rPr>
          <w:vertAlign w:val="baseline"/>
        </w:rPr>
        <w:t xml:space="preserve">Tao</w:t>
      </w:r>
      <w:r>
        <w:rPr>
          <w:vertAlign w:val="baseline"/>
        </w:rPr>
        <w:t xml:space="preserve"> tv. alkalmazásakor figyelemmel kell lenni arra, hogy az </w:t>
      </w:r>
      <w:r>
        <w:rPr>
          <w:vertAlign w:val="baseline"/>
        </w:rPr>
        <w:t xml:space="preserve">Európai Unióban</w:t>
      </w:r>
      <w:r>
        <w:rPr>
          <w:vertAlign w:val="baseline"/>
        </w:rPr>
        <w:t xml:space="preserve"> a társasági adó alapvetően nem harmonizált közvetlen adó, ahol a tagállamok szuverén módon maguk határozhatják meg a társaságok nyereségének adóztatásra vonatkozó rendelkezésiket. A különböző tagállambeli társult vállalkozások közötti kamat- és jogdíjfizetések közös adózási rendszerét illetően azonban megalkotásra került a </w:t>
      </w:r>
      <w:r>
        <w:rPr>
          <w:vertAlign w:val="baseline"/>
        </w:rPr>
        <w:t xml:space="preserve">Kamat</w:t>
      </w:r>
      <w:r>
        <w:rPr>
          <w:vertAlign w:val="baseline"/>
        </w:rPr>
        <w:t xml:space="preserve">-jogdíj irányelv, amely célja a különböző uniós országokban a társult vállalkozások közötti fizetések tisztességes adóztatásának biztosítása, a kettős adóztatás elkerülése. Az irányelv az uniós országoknak címzett jogi aktus [11. cikk], amelyet a tagállamoknak 2004. január 1-ig át kellett átültetniük a saját nemzeti jogukba. A </w:t>
      </w:r>
      <w:r>
        <w:rPr>
          <w:vertAlign w:val="baseline"/>
        </w:rPr>
        <w:t xml:space="preserve">Kamat</w:t>
      </w:r>
      <w:r>
        <w:rPr>
          <w:vertAlign w:val="baseline"/>
        </w:rPr>
        <w:t xml:space="preserve">-jogdíj irányelv rendelkezéseinek átültetése a </w:t>
      </w:r>
      <w:r>
        <w:rPr>
          <w:vertAlign w:val="baseline"/>
        </w:rPr>
        <w:t xml:space="preserve">Tao</w:t>
      </w:r>
      <w:r>
        <w:rPr>
          <w:vertAlign w:val="baseline"/>
        </w:rPr>
        <w:t xml:space="preserve"> tv. 31. § (1) bekezdés c) pontja szerint megtörtént.</w:t>
      </w:r>
    </w:p>
    <w:p>
      <w:pPr>
        <w:jc w:val="left"/>
      </w:pPr>
      <w:r>
        <w:rPr>
          <w:vertAlign w:val="baseline"/>
        </w:rPr>
        <w:t xml:space="preserve">  </w:t>
      </w:r>
    </w:p>
    <w:p>
      <w:pPr>
        <w:jc w:val="both"/>
      </w:pPr>
      <w:r>
        <w:rPr>
          <w:vertAlign w:val="baseline"/>
        </w:rPr>
        <w:t xml:space="preserve">[66]</w:t>
      </w:r>
      <w:r>
        <w:rPr>
          <w:vertAlign w:val="baseline"/>
        </w:rPr>
        <w:t xml:space="preserve">        </w:t>
      </w:r>
      <w:r>
        <w:rPr>
          <w:vertAlign w:val="baseline"/>
        </w:rPr>
        <w:t xml:space="preserve">Az irányelv szerint „</w:t>
      </w:r>
      <w:r>
        <w:rPr>
          <w:i/>
          <w:vertAlign w:val="baseline"/>
        </w:rPr>
        <w:t xml:space="preserve">Egy tagállamban felmerülő kamat- és jogdíjfizetések mentesek az adott államban ilyen kifizetésekre akár forrásnál történő levonással, akár kivetéssel beszedett adók alól, feltéve hogy a kamat vagy jogdíj haszonhúzója egy másik tagállam vállalkozása vagy egy tagállam vállalkozásának egy másik tagállamban levő állandó telephelye.</w:t>
      </w:r>
      <w:r>
        <w:rPr>
          <w:vertAlign w:val="baseline"/>
        </w:rPr>
        <w:t xml:space="preserve">”[1. Cikk</w:t>
      </w:r>
      <w:r>
        <w:rPr>
          <w:vertAlign w:val="baseline"/>
        </w:rPr>
        <w:t xml:space="preserve">  </w:t>
      </w:r>
      <w:r>
        <w:rPr>
          <w:vertAlign w:val="baseline"/>
        </w:rPr>
        <w:t xml:space="preserve">(1) bekezdés].</w:t>
      </w:r>
    </w:p>
    <w:p>
      <w:pPr>
        <w:jc w:val="left"/>
      </w:pPr>
      <w:r>
        <w:rPr>
          <w:vertAlign w:val="baseline"/>
        </w:rPr>
        <w:t xml:space="preserve">  </w:t>
      </w:r>
    </w:p>
    <w:p>
      <w:pPr>
        <w:jc w:val="both"/>
      </w:pPr>
      <w:r>
        <w:rPr>
          <w:vertAlign w:val="baseline"/>
        </w:rPr>
        <w:t xml:space="preserve">[67]</w:t>
      </w:r>
      <w:r>
        <w:rPr>
          <w:vertAlign w:val="baseline"/>
        </w:rPr>
        <w:t xml:space="preserve">        </w:t>
      </w:r>
      <w:r>
        <w:rPr>
          <w:vertAlign w:val="baseline"/>
        </w:rPr>
        <w:t xml:space="preserve">A 4. cikk szerint: </w:t>
      </w:r>
      <w:r>
        <w:rPr>
          <w:vertAlign w:val="baseline"/>
        </w:rPr>
        <w:t xml:space="preserve">„</w:t>
      </w:r>
      <w:r>
        <w:rPr>
          <w:i/>
          <w:vertAlign w:val="baseline"/>
        </w:rPr>
        <w:t xml:space="preserve">(1)</w:t>
      </w:r>
      <w:r>
        <w:rPr>
          <w:i/>
          <w:vertAlign w:val="baseline"/>
        </w:rPr>
        <w:t xml:space="preserve">  </w:t>
      </w:r>
      <w:r>
        <w:rPr>
          <w:vertAlign w:val="baseline"/>
        </w:rPr>
        <w:t xml:space="preserve">A forrás szerinti állam nem köteles biztosítani ezen irányelv előnyeit a következő esetekben:</w:t>
      </w:r>
    </w:p>
    <w:p>
      <w:pPr>
        <w:jc w:val="left"/>
      </w:pPr>
      <w:r>
        <w:rPr>
          <w:vertAlign w:val="baseline"/>
        </w:rPr>
        <w:t xml:space="preserve">  </w:t>
      </w:r>
    </w:p>
    <w:p>
      <w:pPr>
        <w:jc w:val="both"/>
      </w:pPr>
      <w:r>
        <w:rPr>
          <w:i/>
          <w:vertAlign w:val="baseline"/>
        </w:rPr>
        <w:t xml:space="preserve">a) kifizetések, amelyeket nyereségkifizetésként vagy tőke-visszafizetésként kezelnek a forrás szerinti állam törvényei értelmében;</w:t>
      </w:r>
    </w:p>
    <w:p>
      <w:pPr>
        <w:jc w:val="left"/>
      </w:pPr>
      <w:r>
        <w:rPr>
          <w:vertAlign w:val="baseline"/>
        </w:rPr>
        <w:t xml:space="preserve">  </w:t>
      </w:r>
    </w:p>
    <w:p>
      <w:pPr>
        <w:jc w:val="both"/>
      </w:pPr>
      <w:r>
        <w:rPr>
          <w:i/>
          <w:vertAlign w:val="baseline"/>
        </w:rPr>
        <w:t xml:space="preserve">b) követelésekből származó kifizetések, amelyek az adós nyereségéből való részesedés jogával járnak;</w:t>
      </w:r>
    </w:p>
    <w:p>
      <w:pPr>
        <w:jc w:val="left"/>
      </w:pPr>
      <w:r>
        <w:rPr>
          <w:vertAlign w:val="baseline"/>
        </w:rPr>
        <w:t xml:space="preserve">  </w:t>
      </w:r>
    </w:p>
    <w:p>
      <w:pPr>
        <w:jc w:val="both"/>
      </w:pPr>
      <w:r>
        <w:rPr>
          <w:i/>
          <w:vertAlign w:val="baseline"/>
        </w:rPr>
        <w:t xml:space="preserve">c) követelésekből származó kifizetések, amelyek a hitelezőt feljogosítják, hogy a kamathoz való jogát felcserélje az adós nyereségéből való részesedés jogával;</w:t>
      </w:r>
    </w:p>
    <w:p>
      <w:pPr>
        <w:jc w:val="left"/>
      </w:pPr>
      <w:r>
        <w:rPr>
          <w:vertAlign w:val="baseline"/>
        </w:rPr>
        <w:t xml:space="preserve">  </w:t>
      </w:r>
    </w:p>
    <w:p>
      <w:pPr>
        <w:jc w:val="both"/>
      </w:pPr>
      <w:r>
        <w:rPr>
          <w:i/>
          <w:vertAlign w:val="baseline"/>
        </w:rPr>
        <w:t xml:space="preserve">d) követelésekből származó kifizetések, amelyek nem tartalmaznak fedezetet a főösszeg visszafizetésére, vagy amennyiben a visszafizetés a kibocsátás után több mint 50 évvel esedékes.</w:t>
      </w:r>
    </w:p>
    <w:p>
      <w:pPr>
        <w:jc w:val="left"/>
      </w:pPr>
      <w:r>
        <w:rPr>
          <w:vertAlign w:val="baseline"/>
        </w:rPr>
        <w:t xml:space="preserve">  </w:t>
      </w:r>
    </w:p>
    <w:p>
      <w:pPr>
        <w:jc w:val="both"/>
      </w:pPr>
      <w:r>
        <w:rPr>
          <w:i/>
          <w:vertAlign w:val="baseline"/>
        </w:rPr>
        <w:t xml:space="preserve">(2)</w:t>
      </w:r>
      <w:r>
        <w:rPr>
          <w:i/>
          <w:vertAlign w:val="baseline"/>
        </w:rPr>
        <w:t xml:space="preserve">  </w:t>
      </w:r>
      <w:r>
        <w:rPr>
          <w:vertAlign w:val="baseline"/>
        </w:rPr>
        <w:t xml:space="preserve">Ha</w:t>
      </w:r>
      <w:r>
        <w:rPr>
          <w:vertAlign w:val="baseline"/>
        </w:rPr>
        <w:t xml:space="preserve"> a kamat vagy jogdíjak kifizetője és haszonhúzója közötti, vagy egyikőjük és valamely más személy közötti különleges kapcsolat miatt a kamat vagy jogdíjak összege meghaladja azt az összeget, amelyben a kifizető és a haszonhúzó ilyen kapcsolat hiányában megállapodott volna, ezen irányelv rendelkezéseit csak ez utóbbi összegre kell alkalmazni.</w:t>
      </w:r>
      <w:r>
        <w:rPr>
          <w:vertAlign w:val="baseline"/>
        </w:rPr>
        <w:t xml:space="preserve">”</w:t>
      </w:r>
    </w:p>
    <w:p>
      <w:pPr>
        <w:jc w:val="left"/>
      </w:pPr>
      <w:r>
        <w:rPr>
          <w:vertAlign w:val="baseline"/>
        </w:rPr>
        <w:t xml:space="preserve">  </w:t>
      </w:r>
    </w:p>
    <w:p>
      <w:pPr>
        <w:jc w:val="both"/>
      </w:pPr>
      <w:r>
        <w:rPr>
          <w:vertAlign w:val="baseline"/>
        </w:rPr>
        <w:t xml:space="preserve">[68]</w:t>
      </w:r>
      <w:r>
        <w:rPr>
          <w:vertAlign w:val="baseline"/>
        </w:rPr>
        <w:t xml:space="preserve">        </w:t>
      </w:r>
      <w:r>
        <w:rPr>
          <w:vertAlign w:val="baseline"/>
        </w:rPr>
        <w:t xml:space="preserve">A 4. cikk (1) bekezdésben meghatározott rendelkezés a kamat forrás szerinti állam által történő adóztatását teszi lehetővé azon követelésekből származó kifizetésekre, amelyek nem tartalmaznak fedezetet a főösszeg visszafizetésére, vagy amennyiben a visszafizetés a kibocsátás után több mint 50 évvel esedékes. Ugyanakkor a </w:t>
      </w:r>
      <w:r>
        <w:rPr>
          <w:vertAlign w:val="baseline"/>
        </w:rPr>
        <w:t xml:space="preserve">Tao</w:t>
      </w:r>
      <w:r>
        <w:rPr>
          <w:vertAlign w:val="baseline"/>
        </w:rPr>
        <w:t xml:space="preserve"> tv. nem rendelkezik a </w:t>
      </w:r>
      <w:r>
        <w:rPr>
          <w:vertAlign w:val="baseline"/>
        </w:rPr>
        <w:t xml:space="preserve">Kamat</w:t>
      </w:r>
      <w:r>
        <w:rPr>
          <w:vertAlign w:val="baseline"/>
        </w:rPr>
        <w:t xml:space="preserve">-jogdíj irányelv 4. cikk (1) bekezdés d) pontjában foglalt felhatalmazás alapján arról, hogy nem biztosítja a kamat forrásadómentességét azon követelésekből származó kifizetések után, amelyek nem tartalmaznak fedezetet a főösszeg visszafizetésére, vagy amennyiben a visszafizetés a kibocsátás után több mint 50 évvel esedékes. A 4. cikk (2) bekezdés a kapcsolt vállalkozások esetére eltérő szabályokat ír elő: amennyiben az ügyletet kötő személyek közötti különleges kapcsolat miatt a kamat vagy jogdíjak összege meghaladja azt az összeget, amelyben a kifizető és a haszonhúzó ilyen kapcsolat hiányában megállapodott volna, csak erre a magasabb összegre kell biztosítani az adómentességet. Az adóhatóság azonban nem tett megállapítást arra vonatkozóan, hogy a felperes a szokásos piaci kamatnál magasabb kamatban állapodott meg társult vállalkozásával. A 4. cikk rendelkezései tehát nem érintik azt a kérdést, hogy ezek a kifizetések is kamatnak minősülnek.</w:t>
      </w:r>
    </w:p>
    <w:p>
      <w:pPr>
        <w:jc w:val="left"/>
      </w:pPr>
      <w:r>
        <w:rPr>
          <w:vertAlign w:val="baseline"/>
        </w:rPr>
        <w:t xml:space="preserve">  </w:t>
      </w:r>
    </w:p>
    <w:p>
      <w:pPr>
        <w:jc w:val="both"/>
      </w:pPr>
      <w:r>
        <w:rPr>
          <w:vertAlign w:val="baseline"/>
        </w:rPr>
        <w:t xml:space="preserve">[69]</w:t>
      </w:r>
      <w:r>
        <w:rPr>
          <w:vertAlign w:val="baseline"/>
        </w:rPr>
        <w:t xml:space="preserve">        </w:t>
      </w:r>
      <w:r>
        <w:rPr>
          <w:vertAlign w:val="baseline"/>
        </w:rPr>
        <w:t xml:space="preserve">Az adómentesség megvonásának nemzeti jogba történő átültetésének hiányában tehát a felperes terhére a </w:t>
      </w:r>
      <w:r>
        <w:rPr>
          <w:vertAlign w:val="baseline"/>
        </w:rPr>
        <w:t xml:space="preserve">Kamat</w:t>
      </w:r>
      <w:r>
        <w:rPr>
          <w:vertAlign w:val="baseline"/>
        </w:rPr>
        <w:t xml:space="preserve">-jogdíj irányelv alapján adókötelezettség nem állapítható meg.</w:t>
      </w:r>
    </w:p>
    <w:p>
      <w:pPr>
        <w:jc w:val="left"/>
      </w:pPr>
      <w:r>
        <w:rPr>
          <w:vertAlign w:val="baseline"/>
        </w:rPr>
        <w:t xml:space="preserve">  </w:t>
      </w:r>
    </w:p>
    <w:p>
      <w:pPr>
        <w:jc w:val="both"/>
      </w:pPr>
      <w:r>
        <w:rPr>
          <w:vertAlign w:val="baseline"/>
        </w:rPr>
        <w:t xml:space="preserve">[70]</w:t>
      </w:r>
      <w:r>
        <w:rPr>
          <w:vertAlign w:val="baseline"/>
        </w:rPr>
        <w:t xml:space="preserve">        </w:t>
      </w:r>
      <w:r>
        <w:rPr>
          <w:vertAlign w:val="baseline"/>
        </w:rPr>
        <w:t xml:space="preserve">Az EUB</w:t>
      </w:r>
      <w:r>
        <w:rPr>
          <w:vertAlign w:val="baseline"/>
        </w:rPr>
        <w:t xml:space="preserve"> bizonyos esetekben a magánszemélyek jogainak védelme érdekében elismeri az irányelvek közvetlen vertikális hatályát, ennek megfelelően az </w:t>
      </w:r>
      <w:r>
        <w:rPr>
          <w:vertAlign w:val="baseline"/>
        </w:rPr>
        <w:t xml:space="preserve">EUB</w:t>
      </w:r>
      <w:r>
        <w:rPr>
          <w:vertAlign w:val="baseline"/>
        </w:rPr>
        <w:t xml:space="preserve"> ítélkezési gyakorlatában</w:t>
      </w:r>
      <w:r>
        <w:rPr>
          <w:vertAlign w:val="baseline"/>
        </w:rPr>
        <w:t xml:space="preserve"> kimondta, hogy az irányelvek is közvetlen hatállyal bírnak, ha 1. feltétel nélküliek, 2. megfelelően világosak és pontosak, 3. valamint ha az irányelvet nem ültették át határidőn belül nemzeti jogukba [41-74. (Van </w:t>
      </w:r>
      <w:r>
        <w:rPr>
          <w:vertAlign w:val="baseline"/>
        </w:rPr>
        <w:t xml:space="preserve">Duyn</w:t>
      </w:r>
      <w:r>
        <w:rPr>
          <w:vertAlign w:val="baseline"/>
        </w:rPr>
        <w:t xml:space="preserve">) ügy]. Az </w:t>
      </w:r>
      <w:r>
        <w:rPr>
          <w:vertAlign w:val="baseline"/>
        </w:rPr>
        <w:t xml:space="preserve">Európai Unió Bíróságának</w:t>
      </w:r>
      <w:r>
        <w:rPr>
          <w:vertAlign w:val="baseline"/>
        </w:rPr>
        <w:t xml:space="preserve"> gyakorlata szerint [</w:t>
      </w:r>
      <w:r>
        <w:rPr>
          <w:vertAlign w:val="baseline"/>
        </w:rPr>
        <w:t xml:space="preserve">148/78.</w:t>
      </w:r>
      <w:r>
        <w:rPr>
          <w:vertAlign w:val="baseline"/>
        </w:rPr>
        <w:t xml:space="preserve"> (Tullio </w:t>
      </w:r>
      <w:r>
        <w:rPr>
          <w:vertAlign w:val="baseline"/>
        </w:rPr>
        <w:t xml:space="preserve">Ratti</w:t>
      </w:r>
      <w:r>
        <w:rPr>
          <w:vertAlign w:val="baseline"/>
        </w:rPr>
        <w:t xml:space="preserve">), </w:t>
      </w:r>
      <w:r>
        <w:rPr>
          <w:vertAlign w:val="baseline"/>
        </w:rPr>
        <w:t xml:space="preserve">152/84.</w:t>
      </w:r>
      <w:r>
        <w:rPr>
          <w:vertAlign w:val="baseline"/>
        </w:rPr>
        <w:t xml:space="preserve"> (Marshall), </w:t>
      </w:r>
      <w:r>
        <w:rPr>
          <w:vertAlign w:val="baseline"/>
        </w:rPr>
        <w:t xml:space="preserve">C-8/81</w:t>
      </w:r>
      <w:r>
        <w:rPr>
          <w:vertAlign w:val="baseline"/>
        </w:rPr>
        <w:t xml:space="preserve">. (Ursula </w:t>
      </w:r>
      <w:r>
        <w:rPr>
          <w:vertAlign w:val="baseline"/>
        </w:rPr>
        <w:t xml:space="preserve">Becker</w:t>
      </w:r>
      <w:r>
        <w:rPr>
          <w:vertAlign w:val="baseline"/>
        </w:rPr>
        <w:t xml:space="preserve">) ügyek] ugyanakkor kizárt az irányelv fordított vertikális közvetlen hatályú alkalmazása, azaz a tagállam vagy annak szerve magánféllel szemben közvetlenül az irányelvre nem alapíthat igényt, az állam arra alapozva magánfélre nem róhat kötelezettséget. A </w:t>
      </w:r>
      <w:r>
        <w:rPr>
          <w:vertAlign w:val="baseline"/>
        </w:rPr>
        <w:t xml:space="preserve">Kamat</w:t>
      </w:r>
      <w:r>
        <w:rPr>
          <w:vertAlign w:val="baseline"/>
        </w:rPr>
        <w:t xml:space="preserve">-jogdíj irányelv alapján a forrásadó-mentesség a 4. cikk (1) bekezdés d) pontja és (2) bekezdés alapján a felperestől nem lenne megtagadható még abban az esetben sem, amennyiben a tárgyidőszakban a kamatot forrásadó terhelte volna.</w:t>
      </w:r>
    </w:p>
    <w:p>
      <w:pPr>
        <w:jc w:val="left"/>
      </w:pPr>
      <w:r>
        <w:rPr>
          <w:vertAlign w:val="baseline"/>
        </w:rPr>
        <w:t xml:space="preserve">  </w:t>
      </w:r>
    </w:p>
    <w:p>
      <w:pPr>
        <w:jc w:val="both"/>
      </w:pPr>
      <w:r>
        <w:rPr>
          <w:vertAlign w:val="baseline"/>
        </w:rPr>
        <w:t xml:space="preserve">[71]</w:t>
      </w:r>
      <w:r>
        <w:rPr>
          <w:vertAlign w:val="baseline"/>
        </w:rPr>
        <w:t xml:space="preserve">        </w:t>
      </w:r>
      <w:r>
        <w:rPr>
          <w:vertAlign w:val="baseline"/>
        </w:rPr>
        <w:t xml:space="preserve">Az irányelv ugyanakkor nem zárja ki a csalások és visszaélések megelőzéséhez szükséges hazai vagy egyezményeken alapuló szabályok érvényesítését: az uniós országok visszavonhatják az irányelv által biztosított előnyöket, vagy megtagadhatják azok alkalmazását azon ügyletek esetében, ahol a fő motívum vagy az egyik fő indíték az adócsalás, adóelkerülés vagy visszaélés [5. Cikk (1) és (2) bekezdés]. Ez a rendelkezés azonban a kamat és jogdíjak adómentességének megtagadását teszi lehetővé csalárd magatartás bizonyítottsága esetén. H</w:t>
      </w:r>
      <w:r>
        <w:rPr>
          <w:vertAlign w:val="baseline"/>
        </w:rPr>
        <w:t xml:space="preserve">angsúlyozandó azonban, hogy a per tárgya a kamat összegének ráfordításként való elismerhetősége volt. Ennek következtében a kamatjövedelem esetleges adóztatására vonatkozó közösségi rendelkezésekre az adóhatóság nem alapozhatta jogszerűen a határozatát, ugyanis a vitatott ügyletből nem a felperesnek, hanem a holland </w:t>
      </w:r>
      <w:r>
        <w:rPr>
          <w:vertAlign w:val="baseline"/>
        </w:rPr>
        <w:t xml:space="preserve">BV</w:t>
      </w:r>
      <w:r>
        <w:rPr>
          <w:vertAlign w:val="baseline"/>
        </w:rPr>
        <w:t xml:space="preserve">-nek származott jövedelme. Mindezek folytán a perben eldöntendő jogkérdést nem a közösségi, hanem a nemzeti jog rendelkezései alapján kellett megítélni.</w:t>
      </w:r>
    </w:p>
    <w:p>
      <w:pPr>
        <w:jc w:val="left"/>
      </w:pPr>
      <w:r>
        <w:rPr>
          <w:vertAlign w:val="baseline"/>
        </w:rPr>
        <w:t xml:space="preserve">  </w:t>
      </w:r>
    </w:p>
    <w:p>
      <w:pPr>
        <w:jc w:val="both"/>
      </w:pPr>
      <w:r>
        <w:rPr>
          <w:vertAlign w:val="baseline"/>
        </w:rPr>
        <w:t xml:space="preserve">[72]</w:t>
      </w:r>
      <w:r>
        <w:rPr>
          <w:vertAlign w:val="baseline"/>
        </w:rPr>
        <w:t xml:space="preserve">        </w:t>
      </w:r>
      <w:r>
        <w:rPr>
          <w:vertAlign w:val="baseline"/>
        </w:rPr>
        <w:t xml:space="preserve">A </w:t>
      </w:r>
      <w:r>
        <w:rPr>
          <w:vertAlign w:val="baseline"/>
        </w:rPr>
        <w:t xml:space="preserve">Tao</w:t>
      </w:r>
      <w:r>
        <w:rPr>
          <w:vertAlign w:val="baseline"/>
        </w:rPr>
        <w:t xml:space="preserve"> tv. 1. § (2) bekezdése szerinti visszaélésszerű magatartás vizsgálatánál az ügylet tartalmi elemzése szükséges. Visszaélésszerűnek csak az az adózói magatartás minősül, ahol az ügylet kizárólagos, vagy lényegi célja az adóelkerülés.</w:t>
      </w:r>
    </w:p>
    <w:p>
      <w:pPr>
        <w:jc w:val="left"/>
      </w:pPr>
      <w:r>
        <w:rPr>
          <w:vertAlign w:val="baseline"/>
        </w:rPr>
        <w:t xml:space="preserve">  </w:t>
      </w:r>
    </w:p>
    <w:p>
      <w:pPr>
        <w:jc w:val="both"/>
      </w:pPr>
      <w:r>
        <w:rPr>
          <w:vertAlign w:val="baseline"/>
        </w:rPr>
        <w:t xml:space="preserve">[73]</w:t>
      </w:r>
      <w:r>
        <w:rPr>
          <w:vertAlign w:val="baseline"/>
        </w:rPr>
        <w:t xml:space="preserve">        </w:t>
      </w:r>
      <w:r>
        <w:rPr>
          <w:vertAlign w:val="baseline"/>
        </w:rPr>
        <w:t xml:space="preserve">A nem vitatott tényállás szerint a felperes a </w:t>
      </w:r>
      <w:r>
        <w:rPr>
          <w:vertAlign w:val="baseline"/>
        </w:rPr>
        <w:t xml:space="preserve">Bankkal</w:t>
      </w:r>
      <w:r>
        <w:rPr>
          <w:vertAlign w:val="baseline"/>
        </w:rPr>
        <w:t xml:space="preserve"> szemben fennálló hiteltartozása kiváltására vette fel a kölcsönt a </w:t>
      </w:r>
      <w:r>
        <w:rPr>
          <w:vertAlign w:val="baseline"/>
        </w:rPr>
        <w:t xml:space="preserve">BV</w:t>
      </w:r>
      <w:r>
        <w:rPr>
          <w:vertAlign w:val="baseline"/>
        </w:rPr>
        <w:t xml:space="preserve">-től, a kölcsönszerződés megkötése tehát valós gazdasági indokkal bírt. A szerződés 3.2. pontja alapján a kamat kizárólag akkor merül fel és vált esedékessé, amikor a felperes tevékenységéből a 3.5. pontban definiált „nettó jövedelmet” érte el. A 3.5. pont értelmében a „nettó jövedelem” a felperes adott pénzügyi év végeztével elkészített kimutatásain alapuló adózás utáni eredmény, nem számítva az adott periódusban fizetendő kamatot. A szerződés 3.7 pontja a kamat tőkésítésének kizárásáról rendelkezik, azonban ez nem érinti a kamat esedékességének meghatározására vonatkozó szerződéses kitételt. A </w:t>
      </w:r>
      <w:r>
        <w:rPr>
          <w:vertAlign w:val="baseline"/>
        </w:rPr>
        <w:t xml:space="preserve">Kúria</w:t>
      </w:r>
      <w:r>
        <w:rPr>
          <w:vertAlign w:val="baseline"/>
        </w:rPr>
        <w:t xml:space="preserve"> megítélése szerint azonban ezáltal sem minősül a kamat osztalék jellegű kifizetésnek, vagy nyereségrészesedési követelésnek, ugyan annak összege az adós éves nyereségének összege függvényében nem változott, a kamat mértéke állandó volt. A perbeli esetben a kamat esedékességének a meghatározása csupán a nyereségtől függő szerződéses kamatkikötésnek minősül, amely által a felperesnél adóelőny nem jelentkezett, ugyanis a </w:t>
      </w:r>
      <w:r>
        <w:rPr>
          <w:vertAlign w:val="baseline"/>
        </w:rPr>
        <w:t xml:space="preserve">Banktól</w:t>
      </w:r>
      <w:r>
        <w:rPr>
          <w:vertAlign w:val="baseline"/>
        </w:rPr>
        <w:t xml:space="preserve"> felvett hitel kiváltására fordította a kölcsönt, a banki kölcsön kamata is ráfordításként került elszámolásra. Emellett nyereség hiányában a kamat összege a felperes adózás előtti eredményében, így a tao alapjában nem szerepelt, a veszteséges években a felperes ráfordítást nem számolt el, így az adóalapját nem csökkentette ilyen jogcímen, a költségvetést a veszteséges években így kár nem érhette.</w:t>
      </w:r>
    </w:p>
    <w:p>
      <w:pPr>
        <w:jc w:val="left"/>
      </w:pPr>
      <w:r>
        <w:rPr>
          <w:vertAlign w:val="baseline"/>
        </w:rPr>
        <w:t xml:space="preserve">  </w:t>
      </w:r>
    </w:p>
    <w:p>
      <w:pPr>
        <w:jc w:val="both"/>
      </w:pPr>
      <w:r>
        <w:rPr>
          <w:vertAlign w:val="baseline"/>
        </w:rPr>
        <w:t xml:space="preserve">[74]</w:t>
      </w:r>
      <w:r>
        <w:rPr>
          <w:vertAlign w:val="baseline"/>
        </w:rPr>
        <w:t xml:space="preserve">        </w:t>
      </w:r>
      <w:r>
        <w:rPr>
          <w:vertAlign w:val="baseline"/>
        </w:rPr>
        <w:t xml:space="preserve">A </w:t>
      </w:r>
      <w:r>
        <w:rPr>
          <w:vertAlign w:val="baseline"/>
        </w:rPr>
        <w:t xml:space="preserve">BV</w:t>
      </w:r>
      <w:r>
        <w:rPr>
          <w:vertAlign w:val="baseline"/>
        </w:rPr>
        <w:t xml:space="preserve"> a holland jog által biztosított adómentességet vett igénybe a kamatjövedelme után. A </w:t>
      </w:r>
      <w:r>
        <w:rPr>
          <w:vertAlign w:val="baseline"/>
        </w:rPr>
        <w:t xml:space="preserve">Kamat</w:t>
      </w:r>
      <w:r>
        <w:rPr>
          <w:vertAlign w:val="baseline"/>
        </w:rPr>
        <w:t xml:space="preserve">-jogdíj irányelv és az </w:t>
      </w:r>
      <w:r>
        <w:rPr>
          <w:vertAlign w:val="baseline"/>
        </w:rPr>
        <w:t xml:space="preserve">Egyezmény</w:t>
      </w:r>
      <w:r>
        <w:rPr>
          <w:vertAlign w:val="baseline"/>
        </w:rPr>
        <w:t xml:space="preserve"> rendelkezései értelmében a kamat után a holland fél köteles jövedelemadó-fizetésre, ugyanakkor a szerződéses feltételekre tekintettel a holland állam által ún. részvételi adómentességet biztosított. Ez az adómentesség nem az </w:t>
      </w:r>
      <w:r>
        <w:rPr>
          <w:vertAlign w:val="baseline"/>
        </w:rPr>
        <w:t xml:space="preserve">Egyezmény,</w:t>
      </w:r>
      <w:r>
        <w:rPr>
          <w:vertAlign w:val="baseline"/>
        </w:rPr>
        <w:t xml:space="preserve"> és nem is a </w:t>
      </w:r>
      <w:r>
        <w:rPr>
          <w:vertAlign w:val="baseline"/>
        </w:rPr>
        <w:t xml:space="preserve">Kamat</w:t>
      </w:r>
      <w:r>
        <w:rPr>
          <w:vertAlign w:val="baseline"/>
        </w:rPr>
        <w:t xml:space="preserve">-jogdíj-irányelv, hanem a holland jogalkotó szuverén döntéséből eredt. Magyarország nem írt elő forrásadó kötelezettséget, ezért a kamat forrásadó mentességét a szerződéses feltételek, illetve a részvételi mentesség alkalmazása nem befolyásolták.</w:t>
      </w:r>
    </w:p>
    <w:p>
      <w:pPr>
        <w:jc w:val="left"/>
      </w:pPr>
      <w:r>
        <w:rPr>
          <w:vertAlign w:val="baseline"/>
        </w:rPr>
        <w:t xml:space="preserve">  </w:t>
      </w:r>
    </w:p>
    <w:p>
      <w:pPr>
        <w:jc w:val="both"/>
      </w:pPr>
      <w:r>
        <w:rPr>
          <w:vertAlign w:val="baseline"/>
        </w:rPr>
        <w:t xml:space="preserve">[75]</w:t>
      </w:r>
      <w:r>
        <w:rPr>
          <w:vertAlign w:val="baseline"/>
        </w:rPr>
        <w:t xml:space="preserve">        </w:t>
      </w:r>
      <w:r>
        <w:rPr>
          <w:vertAlign w:val="baseline"/>
        </w:rPr>
        <w:t xml:space="preserve">Nem</w:t>
      </w:r>
      <w:r>
        <w:rPr>
          <w:vertAlign w:val="baseline"/>
        </w:rPr>
        <w:t xml:space="preserve"> helytálló az elsőfokú bíróság álláspontja atekintetben, hogy az </w:t>
      </w:r>
      <w:r>
        <w:rPr>
          <w:vertAlign w:val="baseline"/>
        </w:rPr>
        <w:t xml:space="preserve">Egyezményben</w:t>
      </w:r>
      <w:r>
        <w:rPr>
          <w:vertAlign w:val="baseline"/>
        </w:rPr>
        <w:t xml:space="preserve"> a magyar állam azért mondott le a kamat forrásadójáról, hogy a kamat </w:t>
      </w:r>
      <w:r>
        <w:rPr>
          <w:vertAlign w:val="baseline"/>
        </w:rPr>
        <w:t xml:space="preserve">Hollandiában</w:t>
      </w:r>
      <w:r>
        <w:rPr>
          <w:vertAlign w:val="baseline"/>
        </w:rPr>
        <w:t xml:space="preserve"> adózzon. Az </w:t>
      </w:r>
      <w:r>
        <w:rPr>
          <w:vertAlign w:val="baseline"/>
        </w:rPr>
        <w:t xml:space="preserve">Egyezmény</w:t>
      </w:r>
      <w:r>
        <w:rPr>
          <w:vertAlign w:val="baseline"/>
        </w:rPr>
        <w:t xml:space="preserve"> valójában a kettős jogi adóztatás (ugyanazon személy ugyanazon jövedelem után ne adózzon a két államban) és kijátszásának elkerülését</w:t>
      </w:r>
      <w:r>
        <w:rPr>
          <w:vertAlign w:val="baseline"/>
        </w:rPr>
        <w:t xml:space="preserve">  </w:t>
      </w:r>
      <w:r>
        <w:rPr>
          <w:vertAlign w:val="baseline"/>
        </w:rPr>
        <w:t xml:space="preserve">(egy személy a jövedelme után egyik államban sem adózzon) célozza, és nem szabályozza gazdasági kettős adóztatást (ugyanazon jövedelem után eltérő személyek adózása), illetve nem adóztatást. Utóbbi az </w:t>
      </w:r>
      <w:r>
        <w:rPr>
          <w:vertAlign w:val="baseline"/>
        </w:rPr>
        <w:t xml:space="preserve">Egyezmény</w:t>
      </w:r>
      <w:r>
        <w:rPr>
          <w:vertAlign w:val="baseline"/>
        </w:rPr>
        <w:t xml:space="preserve"> megfogalmazott céljai közt nem szerepel. Az </w:t>
      </w:r>
      <w:r>
        <w:rPr>
          <w:vertAlign w:val="baseline"/>
        </w:rPr>
        <w:t xml:space="preserve">Egyezmény,</w:t>
      </w:r>
      <w:r>
        <w:rPr>
          <w:vertAlign w:val="baseline"/>
        </w:rPr>
        <w:t xml:space="preserve"> illetve a </w:t>
      </w:r>
      <w:r>
        <w:rPr>
          <w:vertAlign w:val="baseline"/>
        </w:rPr>
        <w:t xml:space="preserve">Tao</w:t>
      </w:r>
      <w:r>
        <w:rPr>
          <w:vertAlign w:val="baseline"/>
        </w:rPr>
        <w:t xml:space="preserve"> tv. alapján az államok joghatóságát az adózók illetősége határozza meg, így a magyar adóhatóság adóztatási joghatósága kizárólag a felperesre terjedhet ki. A magyar jogalkotó a belföldi ügyletekre sem vetett ki forrásadót, kizárólag a jövedelmet adóztatta, a felperes jövedelmet nem szerzett az ügylet utáni kamatokból, így nincs meg az elsőfokú bíróság által vélelmezett, az </w:t>
      </w:r>
      <w:r>
        <w:rPr>
          <w:vertAlign w:val="baseline"/>
        </w:rPr>
        <w:t xml:space="preserve">Egyezményből</w:t>
      </w:r>
      <w:r>
        <w:rPr>
          <w:vertAlign w:val="baseline"/>
        </w:rPr>
        <w:t xml:space="preserve"> levezethető összefüggés a forrásadó alkalmazásának mellőzése és a hollandiai adóztatás hiánya, továbbá a kamat ráfordításként való elszámolhatósága és a holland jövedelem részvételi mentesség alá tartozása között.</w:t>
      </w:r>
    </w:p>
    <w:p>
      <w:pPr>
        <w:jc w:val="left"/>
      </w:pPr>
      <w:r>
        <w:rPr>
          <w:vertAlign w:val="baseline"/>
        </w:rPr>
        <w:t xml:space="preserve">  </w:t>
      </w:r>
    </w:p>
    <w:p>
      <w:pPr>
        <w:jc w:val="both"/>
      </w:pPr>
      <w:r>
        <w:rPr>
          <w:vertAlign w:val="baseline"/>
        </w:rPr>
        <w:t xml:space="preserve">[76]</w:t>
      </w:r>
      <w:r>
        <w:rPr>
          <w:vertAlign w:val="baseline"/>
        </w:rPr>
        <w:t xml:space="preserve">        </w:t>
      </w:r>
      <w:r>
        <w:rPr>
          <w:vertAlign w:val="baseline"/>
        </w:rPr>
        <w:t xml:space="preserve">A </w:t>
      </w:r>
      <w:r>
        <w:rPr>
          <w:vertAlign w:val="baseline"/>
        </w:rPr>
        <w:t xml:space="preserve">Kúria</w:t>
      </w:r>
      <w:r>
        <w:rPr>
          <w:vertAlign w:val="baseline"/>
        </w:rPr>
        <w:t xml:space="preserve"> rá kíván mutatni, hogy a </w:t>
      </w:r>
      <w:r>
        <w:rPr>
          <w:vertAlign w:val="baseline"/>
        </w:rPr>
        <w:t xml:space="preserve">Számv.</w:t>
      </w:r>
      <w:r>
        <w:rPr>
          <w:vertAlign w:val="baseline"/>
        </w:rPr>
        <w:t xml:space="preserve"> tv. a kamatot ráfordításként kezeli függetlenül attól, hogy milyen a követelés futamideje, illetve milyen egyéb szerződéses feltételeket szabtak a felek. A ráfordítás elszámolható, ha az az adózó gazdasági tevékenységével összefüggésben merül fel. A jelen ügylet következtében a negatív adózás utáni eredmény esetén a kamat nem vált esedékessé, így ráfordításként sem került elszámolásra, ennek következtében a felperes kizárólag olyan kamatot számolt el, amelyet ténylegesen a kölcsönszerződés alapján ki is fizetett. A költségvetés megkárosítása, az állam közpénzügyi sérelme tehát nem állt elő azáltal, hogy a felperes a tárgyi kölcsönszerződésből eredő kamatfizetési kötelezettségét – miként tette volna a kiváltott hitelét folyósító </w:t>
      </w:r>
      <w:r>
        <w:rPr>
          <w:vertAlign w:val="baseline"/>
        </w:rPr>
        <w:t xml:space="preserve">Bankkal,</w:t>
      </w:r>
      <w:r>
        <w:rPr>
          <w:vertAlign w:val="baseline"/>
        </w:rPr>
        <w:t xml:space="preserve"> illetve bármely belföldi személlyel kötött ügylete alapján - ráfordításként számolta el.</w:t>
      </w:r>
    </w:p>
    <w:p>
      <w:pPr>
        <w:jc w:val="left"/>
      </w:pPr>
      <w:r>
        <w:rPr>
          <w:vertAlign w:val="baseline"/>
        </w:rPr>
        <w:t xml:space="preserve">  </w:t>
      </w:r>
    </w:p>
    <w:p>
      <w:pPr>
        <w:jc w:val="both"/>
      </w:pPr>
      <w:r>
        <w:rPr>
          <w:vertAlign w:val="baseline"/>
        </w:rPr>
        <w:t xml:space="preserve">[77]</w:t>
      </w:r>
      <w:r>
        <w:rPr>
          <w:vertAlign w:val="baseline"/>
        </w:rPr>
        <w:t xml:space="preserve">        </w:t>
      </w:r>
      <w:r>
        <w:rPr>
          <w:vertAlign w:val="baseline"/>
        </w:rPr>
        <w:t xml:space="preserve">A kamat ráfordításkénti elszámolhatóságának célja általánosságban az, hogy az idegen pénzeszköz igénybevételével kapcsolatos költségeket a vállalkozás a gazdasági tevékenységével kapcsolatban felmerült egyéb költségeihez hasonlóan a bevételeivel szemben elszámolhassa. Ez a cél a perbeli ügylet során nem sérült, így rendeltetésellenes, visszaélésszerű joggyakorlás nem állapítható meg.</w:t>
      </w:r>
    </w:p>
    <w:p>
      <w:pPr>
        <w:jc w:val="left"/>
      </w:pPr>
      <w:r>
        <w:rPr>
          <w:vertAlign w:val="baseline"/>
        </w:rPr>
        <w:t xml:space="preserve">  </w:t>
      </w:r>
    </w:p>
    <w:p>
      <w:pPr>
        <w:jc w:val="both"/>
      </w:pPr>
      <w:r>
        <w:rPr>
          <w:vertAlign w:val="baseline"/>
        </w:rPr>
        <w:t xml:space="preserve">[78]</w:t>
      </w:r>
      <w:r>
        <w:rPr>
          <w:vertAlign w:val="baseline"/>
        </w:rPr>
        <w:t xml:space="preserve">        </w:t>
      </w:r>
      <w:r>
        <w:rPr>
          <w:vertAlign w:val="baseline"/>
        </w:rPr>
        <w:t xml:space="preserve">Az elsőfokú bíróság arra az álláspontra helyezkedett, hogy a két fél adóhatóság egyezően ítélte meg az ügyletet, a holland adóhatóság is informális tőkejuttatásnak minősítette azt, ezért volt a felperesi kifizetés a </w:t>
      </w:r>
      <w:r>
        <w:rPr>
          <w:vertAlign w:val="baseline"/>
        </w:rPr>
        <w:t xml:space="preserve">BV</w:t>
      </w:r>
      <w:r>
        <w:rPr>
          <w:vertAlign w:val="baseline"/>
        </w:rPr>
        <w:t xml:space="preserve"> számára mentes a jövedelemadó alól. Ezzel szemben a holland adóhatósági válaszból kitűnik, a felperes által fizetett összeget kamatnak tekintették, azonban a</w:t>
      </w:r>
      <w:r>
        <w:rPr>
          <w:vertAlign w:val="baseline"/>
        </w:rPr>
        <w:t xml:space="preserve"> kamat </w:t>
      </w:r>
      <w:r>
        <w:rPr>
          <w:vertAlign w:val="baseline"/>
        </w:rPr>
        <w:t xml:space="preserve">futamidejére, alárendeltségére, illetve </w:t>
      </w:r>
      <w:r>
        <w:rPr>
          <w:vertAlign w:val="baseline"/>
        </w:rPr>
        <w:t xml:space="preserve">nyereségfüggő esedékességére</w:t>
      </w:r>
      <w:r>
        <w:rPr>
          <w:vertAlign w:val="baseline"/>
        </w:rPr>
        <w:t xml:space="preserve"> figyelemmel az adómentesnek minősült. Alappal feltételezhető, hogy a </w:t>
      </w:r>
      <w:r>
        <w:rPr>
          <w:vertAlign w:val="baseline"/>
        </w:rPr>
        <w:t xml:space="preserve">BV</w:t>
      </w:r>
      <w:r>
        <w:rPr>
          <w:vertAlign w:val="baseline"/>
        </w:rPr>
        <w:t xml:space="preserve"> az ügyletkötéskor az adómentesség igénybe vételének lehetőségére is figyelemmel volt. A szerződés lehetővé tette a felperesnek a futamidő előtti elő- és végtörlesztést, mellyel élt, és a kölcsönt 2018-ban vissza is fizette. Annak megítélése, hogy a </w:t>
      </w:r>
      <w:r>
        <w:rPr>
          <w:vertAlign w:val="baseline"/>
        </w:rPr>
        <w:t xml:space="preserve">BV</w:t>
      </w:r>
      <w:r>
        <w:rPr>
          <w:vertAlign w:val="baseline"/>
        </w:rPr>
        <w:t xml:space="preserve"> által igénybe vett adómentesség célja ilyen körülmények között megvalósult-e, nem a magyar adóhatóság, illetve bíróság joghatósága alá tartozó kérdés, az </w:t>
      </w:r>
      <w:r>
        <w:rPr>
          <w:vertAlign w:val="baseline"/>
        </w:rPr>
        <w:t xml:space="preserve">OECD Transzferár Irányelvek</w:t>
      </w:r>
      <w:r>
        <w:rPr>
          <w:vertAlign w:val="baseline"/>
        </w:rPr>
        <w:t xml:space="preserve"> 1.65 és 1.66 pontjában foglaltak szerint az ügylet alapján igénybe vett adómentesség jogszerűségét, a ténylegesen megvalósult ügylet szerinti esetleges jogkövetkezményeket a holland adóhatóság jogosult alkalmazni. Ugyanakkor a felperes ténylegesen a bankkölcsöne kiváltására vette igénybe a társult vállalkozása pénzeszközeit, az ügyletkötési szándékát ez a tényező uralta, visszafizetési kötelezettség terhelte. A kölcsön futamideje, alárendelt jellege nem befolyásolta az ügylet valódi tartalmát, amely a </w:t>
      </w:r>
      <w:r>
        <w:rPr>
          <w:vertAlign w:val="baseline"/>
        </w:rPr>
        <w:t xml:space="preserve">Kúria</w:t>
      </w:r>
      <w:r>
        <w:rPr>
          <w:vertAlign w:val="baseline"/>
        </w:rPr>
        <w:t xml:space="preserve"> megállapítása szerint kölcsön volt. A ráfordításként elszámolt összeg a felperes vállalkozási tevékenységével kapcsolatban merült fel, a magyar számviteli és társasági adózási szabályok nem tartalmaztak kizáró rendelkezést annak ráfordításként való elszámolhatósága, illetve a tao alap módosításának kötelezettsége vonatkozásában, a magyar államot ért költségvetési kár nem állt elő, így a felperes a fizetett kamat összegét jogszerűen számolta el ráfordításként az eredménykimutatásában, amely összegével a tao alapja – az egyenlő elbánás követelményére is figyelemmel - nem növelhető meg.</w:t>
      </w:r>
    </w:p>
    <w:p>
      <w:pPr>
        <w:jc w:val="left"/>
      </w:pPr>
      <w:r>
        <w:rPr>
          <w:vertAlign w:val="baseline"/>
        </w:rPr>
        <w:t xml:space="preserve">  </w:t>
      </w:r>
    </w:p>
    <w:p>
      <w:pPr>
        <w:jc w:val="both"/>
      </w:pPr>
      <w:r>
        <w:rPr>
          <w:vertAlign w:val="baseline"/>
        </w:rPr>
        <w:t xml:space="preserve">[79]</w:t>
      </w:r>
      <w:r>
        <w:rPr>
          <w:vertAlign w:val="baseline"/>
        </w:rPr>
        <w:t xml:space="preserve">        </w:t>
      </w:r>
      <w:r>
        <w:rPr>
          <w:vertAlign w:val="baseline"/>
        </w:rPr>
        <w:t xml:space="preserve">Mindezek</w:t>
      </w:r>
      <w:r>
        <w:rPr>
          <w:vertAlign w:val="baseline"/>
        </w:rPr>
        <w:t xml:space="preserve"> alapján a </w:t>
      </w:r>
      <w:r>
        <w:rPr>
          <w:vertAlign w:val="baseline"/>
        </w:rPr>
        <w:t xml:space="preserve">Kúria</w:t>
      </w:r>
      <w:r>
        <w:rPr>
          <w:vertAlign w:val="baseline"/>
        </w:rPr>
        <w:t xml:space="preserve"> megállapította, hogy az adóhatóság határozatának keresettel támadott része és a jogerős ítélet jogszabálysértő. Ennek következményeként a </w:t>
      </w:r>
      <w:r>
        <w:rPr>
          <w:vertAlign w:val="baseline"/>
        </w:rPr>
        <w:t xml:space="preserve">Kp.</w:t>
      </w:r>
      <w:r>
        <w:rPr>
          <w:vertAlign w:val="baseline"/>
        </w:rPr>
        <w:t xml:space="preserve"> 121. § (1) bekezdés b) pontja alkalmazásával a jogerős ítéletet megváltoztatta, az alperes határozatának keresettel támadott részét megsemmisítette és az alperest új eljárásra kötelezte.</w:t>
      </w:r>
    </w:p>
    <w:p>
      <w:pPr>
        <w:jc w:val="left"/>
      </w:pPr>
      <w:r>
        <w:rPr>
          <w:vertAlign w:val="baseline"/>
        </w:rPr>
        <w:t xml:space="preserve">  </w:t>
      </w:r>
    </w:p>
    <w:p>
      <w:pPr>
        <w:jc w:val="both"/>
      </w:pPr>
      <w:r>
        <w:rPr>
          <w:vertAlign w:val="baseline"/>
        </w:rPr>
        <w:t xml:space="preserve">[80]</w:t>
      </w:r>
      <w:r>
        <w:rPr>
          <w:vertAlign w:val="baseline"/>
        </w:rPr>
        <w:t xml:space="preserve">        </w:t>
      </w:r>
      <w:r>
        <w:rPr>
          <w:vertAlign w:val="baseline"/>
        </w:rPr>
        <w:t xml:space="preserve">Az új eljárásban az alperes a </w:t>
      </w:r>
      <w:r>
        <w:rPr>
          <w:vertAlign w:val="baseline"/>
        </w:rPr>
        <w:t xml:space="preserve">Kúria</w:t>
      </w:r>
      <w:r>
        <w:rPr>
          <w:vertAlign w:val="baseline"/>
        </w:rPr>
        <w:t xml:space="preserve"> jelen ítéletében foglaltaknak megfelelően köteles az adóellenőrzést lezáró határozatát meghozni.</w:t>
      </w:r>
    </w:p>
    <w:p>
      <w:pPr>
        <w:jc w:val="left"/>
      </w:pPr>
      <w:r>
        <w:rPr>
          <w:vertAlign w:val="baseline"/>
        </w:rPr>
        <w:t xml:space="preserve"> </w:t>
      </w:r>
      <w:r>
        <w:br/>
      </w:r>
    </w:p>
    <w:p>
      <w:pPr>
        <w:jc w:val="both"/>
      </w:pPr>
      <w:r>
        <w:rPr>
          <w:b/>
          <w:vertAlign w:val="baseline"/>
        </w:rPr>
        <w:t xml:space="preserve">A döntés elvi tartalma</w:t>
      </w:r>
    </w:p>
    <w:p>
      <w:pPr>
        <w:jc w:val="left"/>
      </w:pPr>
      <w:r>
        <w:rPr>
          <w:vertAlign w:val="baseline"/>
        </w:rPr>
        <w:t xml:space="preserve"> </w:t>
      </w:r>
      <w:r>
        <w:br/>
      </w:r>
    </w:p>
    <w:p>
      <w:pPr>
        <w:jc w:val="both"/>
      </w:pPr>
      <w:r>
        <w:rPr>
          <w:vertAlign w:val="baseline"/>
        </w:rPr>
        <w:t xml:space="preserve">[81]</w:t>
      </w:r>
      <w:r>
        <w:rPr>
          <w:vertAlign w:val="baseline"/>
        </w:rPr>
        <w:t xml:space="preserve">        </w:t>
      </w:r>
      <w:r>
        <w:rPr>
          <w:i/>
          <w:vertAlign w:val="baseline"/>
        </w:rPr>
        <w:t xml:space="preserve">A visszaélésszerű joggyakorlás megállapíthatóságának egyik feltétele a jogellenes adóelőny bizonyítása.</w:t>
      </w:r>
    </w:p>
    <w:p>
      <w:pPr>
        <w:jc w:val="left"/>
      </w:pPr>
      <w:r>
        <w:rPr>
          <w:vertAlign w:val="baseline"/>
        </w:rPr>
        <w:t xml:space="preserve">  </w:t>
      </w:r>
    </w:p>
    <w:p>
      <w:pPr>
        <w:jc w:val="both"/>
      </w:pPr>
      <w:r>
        <w:rPr>
          <w:b/>
          <w:vertAlign w:val="baseline"/>
        </w:rPr>
        <w:t xml:space="preserve">Záró rész</w:t>
      </w:r>
    </w:p>
    <w:p>
      <w:pPr>
        <w:jc w:val="left"/>
      </w:pPr>
      <w:r>
        <w:rPr>
          <w:vertAlign w:val="baseline"/>
        </w:rPr>
        <w:t xml:space="preserve">  </w:t>
      </w:r>
    </w:p>
    <w:p>
      <w:pPr>
        <w:jc w:val="both"/>
      </w:pPr>
      <w:r>
        <w:rPr>
          <w:vertAlign w:val="baseline"/>
        </w:rPr>
        <w:t xml:space="preserve">[82]</w:t>
      </w:r>
      <w:r>
        <w:rPr>
          <w:vertAlign w:val="baseline"/>
        </w:rPr>
        <w:t xml:space="preserve">        </w:t>
      </w:r>
      <w:r>
        <w:rPr>
          <w:vertAlign w:val="baseline"/>
        </w:rPr>
        <w:t xml:space="preserve">A </w:t>
      </w:r>
      <w:r>
        <w:rPr>
          <w:vertAlign w:val="baseline"/>
        </w:rPr>
        <w:t xml:space="preserve">Kúria</w:t>
      </w:r>
      <w:r>
        <w:rPr>
          <w:vertAlign w:val="baseline"/>
        </w:rPr>
        <w:t xml:space="preserve"> a felperest megillető, a perköltség felszámítására szolgáló költségjegyzékről szóló </w:t>
      </w:r>
      <w:r>
        <w:rPr>
          <w:vertAlign w:val="baseline"/>
        </w:rPr>
        <w:t xml:space="preserve">31/2017</w:t>
      </w:r>
      <w:r>
        <w:rPr>
          <w:vertAlign w:val="baseline"/>
        </w:rPr>
        <w:t xml:space="preserve">. (XII.27.) </w:t>
      </w:r>
      <w:r>
        <w:rPr>
          <w:vertAlign w:val="baseline"/>
        </w:rPr>
        <w:t xml:space="preserve">IM</w:t>
      </w:r>
      <w:r>
        <w:rPr>
          <w:vertAlign w:val="baseline"/>
        </w:rPr>
        <w:t xml:space="preserve"> rendeletnek megfelelően igazolt, és a bírósági eljárásban megállapítható ügyvédi költségekről szóló </w:t>
      </w:r>
      <w:r>
        <w:rPr>
          <w:vertAlign w:val="baseline"/>
        </w:rPr>
        <w:t xml:space="preserve">32/2003</w:t>
      </w:r>
      <w:r>
        <w:rPr>
          <w:vertAlign w:val="baseline"/>
        </w:rPr>
        <w:t xml:space="preserve">. (VIII.21.) </w:t>
      </w:r>
      <w:r>
        <w:rPr>
          <w:vertAlign w:val="baseline"/>
        </w:rPr>
        <w:t xml:space="preserve">IM</w:t>
      </w:r>
      <w:r>
        <w:rPr>
          <w:vertAlign w:val="baseline"/>
        </w:rPr>
        <w:t xml:space="preserve"> rendelet 3. § (2), (5) és (6) bekezdése alapján megállapított elsőfokú és felülvizsgálati perköltségének viselésére az alperest a </w:t>
      </w:r>
      <w:r>
        <w:rPr>
          <w:vertAlign w:val="baseline"/>
        </w:rPr>
        <w:t xml:space="preserve">Kp.</w:t>
      </w:r>
      <w:r>
        <w:rPr>
          <w:vertAlign w:val="baseline"/>
        </w:rPr>
        <w:t xml:space="preserve"> 115. § (2) bekezdése és 99. § (3) bekezdése alkalmazásával, a </w:t>
      </w:r>
      <w:r>
        <w:rPr>
          <w:vertAlign w:val="baseline"/>
        </w:rPr>
        <w:t xml:space="preserve">Kp.</w:t>
      </w:r>
      <w:r>
        <w:rPr>
          <w:vertAlign w:val="baseline"/>
        </w:rPr>
        <w:t xml:space="preserve"> 35. § (1) bekezdése szerint a polgári perrendtartásról szóló 2016. évi </w:t>
      </w:r>
      <w:r>
        <w:rPr>
          <w:vertAlign w:val="baseline"/>
        </w:rPr>
        <w:t xml:space="preserve">CXXX.</w:t>
      </w:r>
      <w:r>
        <w:rPr>
          <w:vertAlign w:val="baseline"/>
        </w:rPr>
        <w:t xml:space="preserve"> törvény (Pp.) 83. § (1) bekezdése alapján kötelezte.</w:t>
      </w:r>
    </w:p>
    <w:p>
      <w:pPr>
        <w:jc w:val="left"/>
      </w:pPr>
      <w:r>
        <w:rPr>
          <w:vertAlign w:val="baseline"/>
        </w:rPr>
        <w:t xml:space="preserve"> </w:t>
      </w:r>
      <w:r>
        <w:br/>
      </w:r>
    </w:p>
    <w:p>
      <w:pPr>
        <w:jc w:val="both"/>
      </w:pPr>
      <w:r>
        <w:rPr>
          <w:vertAlign w:val="baseline"/>
        </w:rPr>
        <w:t xml:space="preserve">[83]</w:t>
      </w:r>
      <w:r>
        <w:rPr>
          <w:vertAlign w:val="baseline"/>
        </w:rPr>
        <w:t xml:space="preserve">        </w:t>
      </w:r>
      <w:r>
        <w:rPr>
          <w:vertAlign w:val="baseline"/>
        </w:rPr>
        <w:t xml:space="preserve">A </w:t>
      </w:r>
      <w:r>
        <w:rPr>
          <w:vertAlign w:val="baseline"/>
        </w:rPr>
        <w:t xml:space="preserve">Kúria</w:t>
      </w:r>
      <w:r>
        <w:rPr>
          <w:vertAlign w:val="baseline"/>
        </w:rPr>
        <w:t xml:space="preserve"> az illetékekről szóló 1990. évi </w:t>
      </w:r>
      <w:r>
        <w:rPr>
          <w:vertAlign w:val="baseline"/>
        </w:rPr>
        <w:t xml:space="preserve">XCIII.</w:t>
      </w:r>
      <w:r>
        <w:rPr>
          <w:vertAlign w:val="baseline"/>
        </w:rPr>
        <w:t xml:space="preserve"> törvény (Itv.) 5. § (1) bekezdés c) pontja és a </w:t>
      </w:r>
      <w:r>
        <w:rPr>
          <w:vertAlign w:val="baseline"/>
        </w:rPr>
        <w:t xml:space="preserve">Kp.</w:t>
      </w:r>
      <w:r>
        <w:rPr>
          <w:vertAlign w:val="baseline"/>
        </w:rPr>
        <w:t xml:space="preserve"> 35. § (1) bekezdése értelmében alkalmazandó </w:t>
      </w:r>
      <w:r>
        <w:rPr>
          <w:vertAlign w:val="baseline"/>
        </w:rPr>
        <w:t xml:space="preserve">Pp.</w:t>
      </w:r>
      <w:r>
        <w:rPr>
          <w:vertAlign w:val="baseline"/>
        </w:rPr>
        <w:t xml:space="preserve"> 102. § (6) bekezdése alapján állapította meg, hogy az elsőfokú és felülvizsgálati eljárási illeték az állam terhén marad.</w:t>
      </w:r>
    </w:p>
    <w:p>
      <w:pPr>
        <w:jc w:val="left"/>
      </w:pPr>
      <w:r>
        <w:rPr>
          <w:vertAlign w:val="baseline"/>
        </w:rPr>
        <w:t xml:space="preserve"> </w:t>
      </w:r>
      <w:r>
        <w:br/>
      </w:r>
    </w:p>
    <w:p>
      <w:pPr>
        <w:jc w:val="both"/>
      </w:pPr>
      <w:r>
        <w:rPr>
          <w:vertAlign w:val="baseline"/>
        </w:rPr>
        <w:t xml:space="preserve">[84]</w:t>
      </w:r>
      <w:r>
        <w:rPr>
          <w:vertAlign w:val="baseline"/>
        </w:rPr>
        <w:t xml:space="preserve">        </w:t>
      </w:r>
      <w:r>
        <w:rPr>
          <w:vertAlign w:val="baseline"/>
        </w:rPr>
        <w:t xml:space="preserve">A </w:t>
      </w:r>
      <w:r>
        <w:rPr>
          <w:vertAlign w:val="baseline"/>
        </w:rPr>
        <w:t xml:space="preserve">Kúria</w:t>
      </w:r>
      <w:r>
        <w:rPr>
          <w:vertAlign w:val="baseline"/>
        </w:rPr>
        <w:t xml:space="preserve"> a felülvizsgálati kérelmet a </w:t>
      </w:r>
      <w:r>
        <w:rPr>
          <w:vertAlign w:val="baseline"/>
        </w:rPr>
        <w:t xml:space="preserve">Kp.</w:t>
      </w:r>
      <w:r>
        <w:rPr>
          <w:vertAlign w:val="baseline"/>
        </w:rPr>
        <w:t xml:space="preserve"> 115. § (2) bekezdése értelmében alkalmazandó 107. § (1) bekezdése alapján tárgyaláson bírálta el.</w:t>
      </w:r>
    </w:p>
    <w:p>
      <w:pPr>
        <w:jc w:val="left"/>
      </w:pPr>
      <w:r>
        <w:rPr>
          <w:vertAlign w:val="baseline"/>
        </w:rPr>
        <w:t xml:space="preserve"> </w:t>
      </w:r>
      <w:r>
        <w:br/>
      </w:r>
    </w:p>
    <w:p>
      <w:pPr>
        <w:jc w:val="both"/>
      </w:pPr>
      <w:r>
        <w:rPr>
          <w:vertAlign w:val="baseline"/>
        </w:rPr>
        <w:t xml:space="preserve">[85]</w:t>
      </w:r>
      <w:r>
        <w:rPr>
          <w:vertAlign w:val="baseline"/>
        </w:rPr>
        <w:t xml:space="preserve">        </w:t>
      </w:r>
      <w:r>
        <w:rPr>
          <w:vertAlign w:val="baseline"/>
        </w:rPr>
        <w:t xml:space="preserve">Az ítélet elleni további felülvizsgálatot a </w:t>
      </w:r>
      <w:r>
        <w:rPr>
          <w:vertAlign w:val="baseline"/>
        </w:rPr>
        <w:t xml:space="preserve">Kp.</w:t>
      </w:r>
      <w:r>
        <w:rPr>
          <w:vertAlign w:val="baseline"/>
        </w:rPr>
        <w:t xml:space="preserve"> 116. § d) pontja zárja ki.</w:t>
      </w:r>
    </w:p>
    <w:p>
      <w:pPr>
        <w:jc w:val="left"/>
      </w:pPr>
      <w:r>
        <w:rPr>
          <w:vertAlign w:val="baseline"/>
        </w:rPr>
        <w:t xml:space="preserve"> </w:t>
      </w:r>
      <w:r>
        <w:br/>
      </w:r>
    </w:p>
    <w:p>
      <w:pPr>
        <w:jc w:val="both"/>
      </w:pPr>
      <w:r>
        <w:rPr>
          <w:vertAlign w:val="baseline"/>
        </w:rPr>
        <w:t xml:space="preserve">Budapest, 2021. december 2.</w:t>
      </w:r>
    </w:p>
    <w:p>
      <w:pPr>
        <w:jc w:val="left"/>
      </w:pPr>
      <w:r>
        <w:rPr>
          <w:vertAlign w:val="baseline"/>
        </w:rPr>
        <w:t xml:space="preserve"> </w:t>
      </w:r>
      <w:r>
        <w:br/>
      </w:r>
    </w:p>
    <w:p>
      <w:pPr>
        <w:jc w:val="center"/>
      </w:pPr>
      <w:r>
        <w:rPr>
          <w:vertAlign w:val="baseline"/>
        </w:rPr>
        <w:t xml:space="preserve">dr. Darák Péter</w:t>
      </w:r>
      <w:r>
        <w:rPr>
          <w:vertAlign w:val="baseline"/>
        </w:rPr>
        <w:t xml:space="preserve"> sk.</w:t>
      </w:r>
    </w:p>
    <w:p>
      <w:pPr>
        <w:jc w:val="left"/>
      </w:pPr>
      <w:r>
        <w:rPr>
          <w:vertAlign w:val="baseline"/>
        </w:rPr>
        <w:t xml:space="preserve">  </w:t>
      </w:r>
    </w:p>
    <w:p>
      <w:pPr>
        <w:jc w:val="center"/>
      </w:pPr>
      <w:r>
        <w:rPr>
          <w:vertAlign w:val="baseline"/>
        </w:rPr>
        <w:t xml:space="preserve">a tanács elnöke</w:t>
      </w:r>
    </w:p>
    <w:p>
      <w:pPr>
        <w:jc w:val="left"/>
      </w:pPr>
      <w:r>
        <w:rPr>
          <w:vertAlign w:val="baseline"/>
        </w:rPr>
        <w:t xml:space="preserve"> </w:t>
      </w:r>
      <w:r>
        <w:br/>
      </w:r>
    </w:p>
    <w:p>
      <w:pPr>
        <w:jc w:val="both"/>
      </w:pPr>
      <w:r>
        <w:rPr>
          <w:vertAlign w:val="baseline"/>
        </w:rPr>
        <w:t xml:space="preserve">dr. Stefancsik Márta</w:t>
      </w:r>
      <w:r>
        <w:rPr>
          <w:vertAlign w:val="baseline"/>
        </w:rPr>
        <w:t xml:space="preserve"> s.k.</w:t>
      </w:r>
      <w:r>
        <w:rPr>
          <w:vertAlign w:val="baseline"/>
        </w:rPr>
        <w:t xml:space="preserve">                                                              </w:t>
      </w:r>
      <w:r>
        <w:rPr>
          <w:vertAlign w:val="baseline"/>
        </w:rPr>
        <w:t xml:space="preserve">dr. Demjén Péter</w:t>
      </w:r>
      <w:r>
        <w:rPr>
          <w:vertAlign w:val="baseline"/>
        </w:rPr>
        <w:t xml:space="preserve"> s.k.</w:t>
      </w:r>
      <w:r>
        <w:rPr>
          <w:vertAlign w:val="baseline"/>
        </w:rPr>
        <w:t xml:space="preserve">                          </w:t>
      </w:r>
    </w:p>
    <w:p>
      <w:pPr>
        <w:jc w:val="left"/>
      </w:pPr>
      <w:r>
        <w:rPr>
          <w:vertAlign w:val="baseline"/>
        </w:rPr>
        <w:t xml:space="preserve">  </w:t>
      </w:r>
    </w:p>
    <w:p>
      <w:pPr>
        <w:jc w:val="both"/>
      </w:pPr>
      <w:r>
        <w:rPr>
          <w:vertAlign w:val="baseline"/>
        </w:rPr>
        <w:t xml:space="preserve">         </w:t>
      </w:r>
      <w:r>
        <w:rPr>
          <w:vertAlign w:val="baseline"/>
        </w:rPr>
        <w:t xml:space="preserve">előadó bíró</w:t>
      </w:r>
      <w:r>
        <w:rPr>
          <w:vertAlign w:val="baseline"/>
        </w:rPr>
        <w:t xml:space="preserve">              </w:t>
      </w:r>
      <w:r>
        <w:rPr>
          <w:vertAlign w:val="baseline"/>
        </w:rPr>
        <w:t xml:space="preserve">                                                                             </w:t>
      </w:r>
      <w:r>
        <w:rPr>
          <w:vertAlign w:val="baseline"/>
        </w:rPr>
        <w:t xml:space="preserve">bíró</w:t>
      </w:r>
    </w:p>
    <w:p>
      <w:pPr>
        <w:jc w:val="left"/>
      </w:pPr>
      <w:r>
        <w:rPr>
          <w:vertAlign w:val="baseline"/>
        </w:rPr>
        <w:t xml:space="preserve"> </w:t>
      </w:r>
      <w:r>
        <w:br/>
      </w:r>
    </w:p>
    <w:p>
      <w:pPr>
        <w:jc w:val="both"/>
      </w:pPr>
      <w:r>
        <w:rPr>
          <w:vertAlign w:val="baseline"/>
        </w:rPr>
        <w:t xml:space="preserve">dr. Drávecz Margit Gyöngyvér</w:t>
      </w:r>
      <w:r>
        <w:rPr>
          <w:vertAlign w:val="baseline"/>
        </w:rPr>
        <w:t xml:space="preserve"> s.k.</w:t>
      </w:r>
      <w:r>
        <w:rPr>
          <w:vertAlign w:val="baseline"/>
        </w:rPr>
        <w:t xml:space="preserve">                                        </w:t>
      </w:r>
      <w:r>
        <w:rPr>
          <w:vertAlign w:val="baseline"/>
        </w:rPr>
        <w:t xml:space="preserve">Ságiné</w:t>
      </w:r>
      <w:r>
        <w:rPr>
          <w:vertAlign w:val="baseline"/>
        </w:rPr>
        <w:t xml:space="preserve"> </w:t>
      </w:r>
      <w:r>
        <w:rPr>
          <w:vertAlign w:val="baseline"/>
        </w:rPr>
        <w:t xml:space="preserve">dr. Márkus Anett</w:t>
      </w:r>
      <w:r>
        <w:rPr>
          <w:vertAlign w:val="baseline"/>
        </w:rPr>
        <w:t xml:space="preserve"> s.k.</w:t>
      </w:r>
    </w:p>
    <w:p>
      <w:pPr>
        <w:jc w:val="left"/>
      </w:pPr>
      <w:r>
        <w:rPr>
          <w:vertAlign w:val="baseline"/>
        </w:rPr>
        <w:t xml:space="preserve">  </w:t>
      </w:r>
    </w:p>
    <w:p>
      <w:pPr>
        <w:jc w:val="both"/>
      </w:pPr>
      <w:r>
        <w:rPr>
          <w:vertAlign w:val="baseline"/>
        </w:rPr>
        <w:t xml:space="preserve">                      </w:t>
      </w:r>
      <w:r>
        <w:rPr>
          <w:vertAlign w:val="baseline"/>
        </w:rPr>
        <w:t xml:space="preserve">bíró</w:t>
      </w:r>
      <w:r>
        <w:rPr>
          <w:vertAlign w:val="baseline"/>
        </w:rPr>
        <w:t xml:space="preserve">                                             </w:t>
      </w:r>
      <w:r>
        <w:rPr>
          <w:vertAlign w:val="baseline"/>
        </w:rPr>
        <w:t xml:space="preserve">                                         </w:t>
      </w:r>
      <w:r>
        <w:rPr>
          <w:vertAlign w:val="baseline"/>
        </w:rPr>
        <w:t xml:space="preserve">bíró</w:t>
      </w:r>
    </w:p>
    <w:p>
      <w:pPr>
        <w:jc w:val="left"/>
      </w:pPr>
      <w:r>
        <w:rPr>
          <w:vertAlign w:val="baseline"/>
        </w:rPr>
        <w:t xml:space="preserve"> </w:t>
      </w:r>
      <w:r>
        <w:br/>
      </w:r>
    </w:p>
    <w:p>
      <w:pPr>
        <w:jc w:val="left"/>
      </w:pPr>
      <w:r>
        <w:rPr>
          <w:vertAlign w:val="baseline"/>
        </w:rPr>
        <w:t xml:space="preserve"> </w:t>
      </w:r>
      <w:r>
        <w:br/>
      </w:r>
    </w:p>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0BF" w:rsidRDefault="000C40BF" w:rsidP="0014128E">
      <w:pPr>
        <w:spacing w:after="0"/>
      </w:pPr>
      <w:r>
        <w:separator/>
      </w:r>
    </w:p>
  </w:endnote>
  <w:endnote w:type="continuationSeparator" w:id="0">
    <w:p w:rsidR="000C40BF" w:rsidRDefault="000C40BF" w:rsidP="001412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3801434"/>
      <w:docPartObj>
        <w:docPartGallery w:val="Page Numbers (Bottom of Page)"/>
        <w:docPartUnique/>
      </w:docPartObj>
    </w:sdtPr>
    <w:sdtEndPr/>
    <w:sdtContent>
      <w:p w:rsidR="0079103E" w:rsidRDefault="000C40BF" w:rsidP="000061FE">
        <w:pPr>
          <w:pStyle w:val="llb"/>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0BF" w:rsidRDefault="000C40BF" w:rsidP="0014128E">
      <w:pPr>
        <w:spacing w:after="0"/>
      </w:pPr>
      <w:r>
        <w:separator/>
      </w:r>
    </w:p>
  </w:footnote>
  <w:footnote w:type="continuationSeparator" w:id="0">
    <w:p w:rsidR="000C40BF" w:rsidRDefault="000C40BF" w:rsidP="001412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1FE" w:rsidRDefault="001F6BAD">
    <w:pPr>
      <w:pStyle w:val="lfej"/>
    </w:pPr>
    <w:r>
      <w:t>Kúria</w:t>
    </w:r>
    <w:r w:rsidR="000061FE">
      <w:tab/>
    </w:r>
    <w:r w:rsidR="000061FE">
      <w:fldChar w:fldCharType="begin"/>
    </w:r>
    <w:r w:rsidR="000061FE">
      <w:instrText xml:space="preserve"> PAGE  \* Arabic  \* MERGEFORMAT </w:instrText>
    </w:r>
    <w:r w:rsidR="000061FE">
      <w:fldChar w:fldCharType="separate"/>
    </w:r>
    <w:r>
      <w:rPr>
        <w:noProof/>
      </w:rPr>
      <w:t>2</w:t>
    </w:r>
    <w:r w:rsidR="000061FE">
      <w:fldChar w:fldCharType="end"/>
    </w:r>
  </w:p>
  <w:p w:rsidR="001F6BAD" w:rsidRDefault="001F6BAD">
    <w:pPr>
      <w:pStyle w:val="lfej"/>
    </w:pPr>
    <w:r>
      <w:t>V.Kfv.35.306/2021/9-2</w:t>
    </w: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03E" w:rsidP="00445C9F" w:rsidRDefault="0079103E">
    <w:pPr>
      <w:pStyle w:val="lfej"/>
      <w:spacing w:after="480"/>
      <w:jc w:val="center"/>
    </w:pPr>
    <w:r>
      <w:rPr>
        <w:noProof/>
        <w:lang w:eastAsia="hu-HU"/>
      </w:rPr>
      <w:drawing>
        <wp:inline distT="0" distB="0" distL="0" distR="0">
          <wp:extent cx="277495" cy="594995"/>
          <wp:effectExtent l="0" t="0" r="8255" b="0"/>
          <wp:docPr id="4" name="Kép 31" descr="https://net.jogtar.hu/get-doc-resource?resourceid=gp2_16_A1100425$BATV__999_a1100999tv$Acimer$Bbmp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ép 31" descr="https://net.jogtar.hu/get-doc-resource?resourceid=gp2_16_A1100425$BATV__999_a1100999tv$Acimer$Bbmp_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77495" cy="594995"/>
                  </a:xfrm>
                  <a:prstGeom prst="rect">
                    <a:avLst/>
                  </a:prstGeom>
                </pic:spPr>
              </pic:pic>
            </a:graphicData>
          </a:graphic>
        </wp:inline>
      </w:drawing>
    </w:r>
  </w:p>
</w:hdr>
</file>

<file path=word/numbering.xml><?xml version="1.0" encoding="utf-8"?>
<w:numbering xmlns:w="http://schemas.openxmlformats.org/wordprocessingml/2006/main">
  <w:abstractNum w:abstractNumId="1">
    <w:multiLevelType w:val="singleLevel"/>
    <w:lvl w:ilvl="0">
      <w:numFmt w:val="bullet"/>
      <w:lvlText w:val=""/>
      <w:lvlJc w:val="left"/>
      <w:pStyle w:val="Cmsor1Char"/>
      <w:pPr/>
      <w:pPr>
        <w:ind w:start="0" w:firstLine="0"/>
      </w:pPr>
      <w:rPr>
        <w:rFonts w:hint="default" w:ascii="Symbol" w:hAnsi="Symbol"/>
      </w:rPr>
      <w:suff w:val="space"/>
    </w:lvl>
  </w:abstractNum>
  <w:abstractNum w:abstractNumId="2">
    <w:multiLevelType w:val="singleLevel"/>
    <w:lvl w:ilvl="0">
      <w:numFmt w:val="decimal"/>
      <w:start w:val="1"/>
      <w:lvlText w:val="%1."/>
      <w:lvlJc w:val="left"/>
      <w:pStyle w:val="Cmsor1Char"/>
      <w:pPr/>
      <w:pPr>
        <w:ind w:start="0" w:firstLine="0"/>
      </w:pPr>
      <w:rPr>
        <w:rFonts w:hint="default" w:ascii="Symbol" w:hAnsi="Symbol"/>
      </w:rPr>
      <w:suff w:val="space"/>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279"/>
    <w:rsid w:val="000061FE"/>
    <w:rsid w:val="00034476"/>
    <w:rsid w:val="0005723F"/>
    <w:rsid w:val="0008220C"/>
    <w:rsid w:val="00091769"/>
    <w:rsid w:val="000C40BF"/>
    <w:rsid w:val="000F498D"/>
    <w:rsid w:val="00104139"/>
    <w:rsid w:val="0014128E"/>
    <w:rsid w:val="001719C9"/>
    <w:rsid w:val="001F6BAD"/>
    <w:rsid w:val="002029FA"/>
    <w:rsid w:val="002B4E04"/>
    <w:rsid w:val="003602E1"/>
    <w:rsid w:val="00377D7B"/>
    <w:rsid w:val="003D2E21"/>
    <w:rsid w:val="00400075"/>
    <w:rsid w:val="00445C9F"/>
    <w:rsid w:val="004852DC"/>
    <w:rsid w:val="004A5423"/>
    <w:rsid w:val="004F3F8A"/>
    <w:rsid w:val="00562FCC"/>
    <w:rsid w:val="005752C5"/>
    <w:rsid w:val="00645E89"/>
    <w:rsid w:val="006575A4"/>
    <w:rsid w:val="006652E2"/>
    <w:rsid w:val="00757E57"/>
    <w:rsid w:val="007660D3"/>
    <w:rsid w:val="0079103E"/>
    <w:rsid w:val="008333F1"/>
    <w:rsid w:val="00853160"/>
    <w:rsid w:val="008E2EA8"/>
    <w:rsid w:val="00A06AEC"/>
    <w:rsid w:val="00B54D1F"/>
    <w:rsid w:val="00B76174"/>
    <w:rsid w:val="00BE3D8F"/>
    <w:rsid w:val="00CD4772"/>
    <w:rsid w:val="00D506F1"/>
    <w:rsid w:val="00E15F75"/>
    <w:rsid w:val="00FA2D4D"/>
    <w:rsid w:val="00FB627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66767"/>
  <w15:chartTrackingRefBased/>
  <w15:docId w15:val="{60EC4AFF-CC39-491D-BBEE-2CA624DEE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752C5"/>
    <w:pPr>
      <w:spacing w:after="80" w:line="240" w:lineRule="auto"/>
      <w:jc w:val="both"/>
    </w:pPr>
    <w:rPr>
      <w:rFonts w:ascii="Times New Roman" w:hAnsi="Times New Roman"/>
      <w:sz w:val="24"/>
    </w:rPr>
  </w:style>
  <w:style w:type="paragraph" w:styleId="Cmsor1">
    <w:name w:val="heading 1"/>
    <w:basedOn w:val="Norml"/>
    <w:next w:val="Norml"/>
    <w:link w:val="Cmsor1Char"/>
    <w:uiPriority w:val="9"/>
    <w:qFormat/>
    <w:rsid w:val="00D506F1"/>
    <w:pPr>
      <w:keepNext/>
      <w:keepLines/>
      <w:spacing w:before="240" w:after="0"/>
      <w:outlineLvl w:val="0"/>
    </w:pPr>
    <w:rPr>
      <w:rFonts w:eastAsiaTheme="majorEastAsia" w:cstheme="majorBidi"/>
      <w:sz w:val="32"/>
      <w:szCs w:val="32"/>
    </w:rPr>
  </w:style>
  <w:style w:type="paragraph" w:styleId="Cmsor2">
    <w:name w:val="heading 2"/>
    <w:basedOn w:val="Norml"/>
    <w:next w:val="Norml"/>
    <w:link w:val="Cmsor2Char"/>
    <w:uiPriority w:val="9"/>
    <w:semiHidden/>
    <w:unhideWhenUsed/>
    <w:qFormat/>
    <w:rsid w:val="00D506F1"/>
    <w:pPr>
      <w:keepNext/>
      <w:keepLines/>
      <w:spacing w:before="40" w:after="0"/>
      <w:outlineLvl w:val="1"/>
    </w:pPr>
    <w:rPr>
      <w:rFonts w:eastAsiaTheme="majorEastAsia" w:cstheme="majorBidi"/>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D506F1"/>
    <w:rPr>
      <w:rFonts w:ascii="Times New Roman" w:eastAsiaTheme="majorEastAsia" w:hAnsi="Times New Roman" w:cstheme="majorBidi"/>
      <w:sz w:val="32"/>
      <w:szCs w:val="32"/>
    </w:rPr>
  </w:style>
  <w:style w:type="paragraph" w:styleId="lfej">
    <w:name w:val="header"/>
    <w:basedOn w:val="Norml"/>
    <w:link w:val="lfejChar"/>
    <w:uiPriority w:val="99"/>
    <w:unhideWhenUsed/>
    <w:rsid w:val="0014128E"/>
    <w:pPr>
      <w:tabs>
        <w:tab w:val="center" w:pos="4536"/>
        <w:tab w:val="right" w:pos="9072"/>
      </w:tabs>
      <w:spacing w:after="0"/>
    </w:pPr>
  </w:style>
  <w:style w:type="character" w:customStyle="1" w:styleId="lfejChar">
    <w:name w:val="Élőfej Char"/>
    <w:basedOn w:val="Bekezdsalapbettpusa"/>
    <w:link w:val="lfej"/>
    <w:uiPriority w:val="99"/>
    <w:rsid w:val="0014128E"/>
  </w:style>
  <w:style w:type="paragraph" w:styleId="llb">
    <w:name w:val="footer"/>
    <w:basedOn w:val="Norml"/>
    <w:link w:val="llbChar"/>
    <w:uiPriority w:val="99"/>
    <w:unhideWhenUsed/>
    <w:rsid w:val="0014128E"/>
    <w:pPr>
      <w:tabs>
        <w:tab w:val="center" w:pos="4536"/>
        <w:tab w:val="right" w:pos="9072"/>
      </w:tabs>
      <w:spacing w:after="0"/>
    </w:pPr>
  </w:style>
  <w:style w:type="character" w:customStyle="1" w:styleId="llbChar">
    <w:name w:val="Élőláb Char"/>
    <w:basedOn w:val="Bekezdsalapbettpusa"/>
    <w:link w:val="llb"/>
    <w:uiPriority w:val="99"/>
    <w:rsid w:val="0014128E"/>
  </w:style>
  <w:style w:type="paragraph" w:styleId="Listaszerbekezds">
    <w:name w:val="List Paragraph"/>
    <w:basedOn w:val="Norml"/>
    <w:uiPriority w:val="34"/>
    <w:qFormat/>
    <w:rsid w:val="0008220C"/>
    <w:pPr>
      <w:ind w:left="720"/>
      <w:contextualSpacing/>
    </w:pPr>
  </w:style>
  <w:style w:type="character" w:customStyle="1" w:styleId="Cmsor2Char">
    <w:name w:val="Címsor 2 Char"/>
    <w:basedOn w:val="Bekezdsalapbettpusa"/>
    <w:link w:val="Cmsor2"/>
    <w:uiPriority w:val="9"/>
    <w:semiHidden/>
    <w:rsid w:val="00D506F1"/>
    <w:rPr>
      <w:rFonts w:ascii="Times New Roman" w:eastAsiaTheme="majorEastAsia" w:hAnsi="Times New Roman" w:cstheme="majorBidi"/>
      <w:sz w:val="26"/>
      <w:szCs w:val="26"/>
    </w:rPr>
  </w:style>
  <w:style w:type="character" w:styleId="Erskiemels">
    <w:name w:val="Intense Emphasis"/>
    <w:basedOn w:val="Bekezdsalapbettpusa"/>
    <w:uiPriority w:val="21"/>
    <w:qFormat/>
    <w:rsid w:val="00D506F1"/>
    <w:rPr>
      <w:rFonts w:ascii="Times New Roman" w:hAnsi="Times New Roman"/>
      <w:i/>
      <w:iCs/>
      <w:color w:val="auto"/>
      <w:sz w:val="24"/>
    </w:rPr>
  </w:style>
  <w:style w:type="paragraph" w:styleId="Kiemeltidzet">
    <w:name w:val="Intense Quote"/>
    <w:basedOn w:val="Norml"/>
    <w:next w:val="Norml"/>
    <w:link w:val="KiemeltidzetChar"/>
    <w:uiPriority w:val="30"/>
    <w:qFormat/>
    <w:rsid w:val="00D506F1"/>
    <w:pPr>
      <w:pBdr>
        <w:top w:val="single" w:sz="4" w:space="10" w:color="000000" w:themeColor="text1"/>
        <w:bottom w:val="single" w:sz="4" w:space="10" w:color="000000" w:themeColor="text1"/>
      </w:pBdr>
      <w:spacing w:before="360" w:after="360"/>
      <w:ind w:left="864" w:right="864"/>
      <w:jc w:val="center"/>
    </w:pPr>
    <w:rPr>
      <w:i/>
      <w:iCs/>
    </w:rPr>
  </w:style>
  <w:style w:type="character" w:customStyle="1" w:styleId="KiemeltidzetChar">
    <w:name w:val="Kiemelt idézet Char"/>
    <w:basedOn w:val="Bekezdsalapbettpusa"/>
    <w:link w:val="Kiemeltidzet"/>
    <w:uiPriority w:val="30"/>
    <w:rsid w:val="00D506F1"/>
    <w:rPr>
      <w:i/>
      <w:iCs/>
    </w:rPr>
  </w:style>
  <w:style w:type="character" w:styleId="Ershivatkozs">
    <w:name w:val="Intense Reference"/>
    <w:basedOn w:val="Bekezdsalapbettpusa"/>
    <w:uiPriority w:val="32"/>
    <w:qFormat/>
    <w:rsid w:val="00D506F1"/>
    <w:rPr>
      <w:rFonts w:ascii="Times New Roman" w:hAnsi="Times New Roman"/>
      <w:b/>
      <w:bCs/>
      <w:smallCaps/>
      <w:color w:val="auto"/>
      <w:spacing w:val="5"/>
      <w:sz w:val="24"/>
    </w:rPr>
  </w:style>
  <w:style w:type="paragraph" w:styleId="Nincstrkz">
    <w:name w:val="No Spacing"/>
    <w:uiPriority w:val="1"/>
    <w:qFormat/>
    <w:rsid w:val="00091769"/>
    <w:pPr>
      <w:spacing w:after="0" w:line="240" w:lineRule="auto"/>
      <w:jc w:val="both"/>
    </w:pPr>
    <w:rPr>
      <w:rFonts w:ascii="Times New Roman" w:hAnsi="Times New Roman"/>
      <w:sz w:val="24"/>
    </w:rPr>
  </w:style>
  <w:style w:type="paragraph" w:styleId="Cm">
    <w:name w:val="Title"/>
    <w:basedOn w:val="Norml"/>
    <w:next w:val="Norml"/>
    <w:link w:val="CmChar"/>
    <w:uiPriority w:val="10"/>
    <w:qFormat/>
    <w:rsid w:val="00D506F1"/>
    <w:pPr>
      <w:spacing w:after="0"/>
      <w:contextualSpacing/>
    </w:pPr>
    <w:rPr>
      <w:rFonts w:eastAsiaTheme="majorEastAsia" w:cstheme="majorBidi"/>
      <w:spacing w:val="-10"/>
      <w:kern w:val="28"/>
      <w:sz w:val="56"/>
      <w:szCs w:val="56"/>
    </w:rPr>
  </w:style>
  <w:style w:type="character" w:customStyle="1" w:styleId="CmChar">
    <w:name w:val="Cím Char"/>
    <w:basedOn w:val="Bekezdsalapbettpusa"/>
    <w:link w:val="Cm"/>
    <w:uiPriority w:val="10"/>
    <w:rsid w:val="00D506F1"/>
    <w:rPr>
      <w:rFonts w:ascii="Times New Roman" w:eastAsiaTheme="majorEastAsia" w:hAnsi="Times New Roman" w:cstheme="majorBidi"/>
      <w:spacing w:val="-10"/>
      <w:kern w:val="28"/>
      <w:sz w:val="56"/>
      <w:szCs w:val="56"/>
    </w:rPr>
  </w:style>
  <w:style w:type="paragraph" w:styleId="Alcm">
    <w:name w:val="Subtitle"/>
    <w:basedOn w:val="Norml"/>
    <w:next w:val="Norml"/>
    <w:link w:val="AlcmChar"/>
    <w:uiPriority w:val="11"/>
    <w:qFormat/>
    <w:rsid w:val="00D506F1"/>
    <w:pPr>
      <w:numPr>
        <w:ilvl w:val="1"/>
      </w:numPr>
    </w:pPr>
    <w:rPr>
      <w:rFonts w:eastAsiaTheme="minorEastAsia"/>
      <w:spacing w:val="15"/>
    </w:rPr>
  </w:style>
  <w:style w:type="character" w:customStyle="1" w:styleId="AlcmChar">
    <w:name w:val="Alcím Char"/>
    <w:basedOn w:val="Bekezdsalapbettpusa"/>
    <w:link w:val="Alcm"/>
    <w:uiPriority w:val="11"/>
    <w:rsid w:val="00D506F1"/>
    <w:rPr>
      <w:rFonts w:ascii="Times New Roman" w:eastAsiaTheme="minorEastAsia" w:hAnsi="Times New Roman"/>
      <w:spacing w:val="15"/>
      <w:sz w:val="24"/>
    </w:rPr>
  </w:style>
  <w:style w:type="character" w:styleId="Finomkiemels">
    <w:name w:val="Subtle Emphasis"/>
    <w:basedOn w:val="Bekezdsalapbettpusa"/>
    <w:uiPriority w:val="19"/>
    <w:qFormat/>
    <w:rsid w:val="00D506F1"/>
    <w:rPr>
      <w:rFonts w:ascii="Times New Roman" w:hAnsi="Times New Roman"/>
      <w:i/>
      <w:iCs/>
      <w:color w:val="auto"/>
      <w:sz w:val="24"/>
    </w:rPr>
  </w:style>
  <w:style w:type="character" w:styleId="Kiemels">
    <w:name w:val="Emphasis"/>
    <w:basedOn w:val="Bekezdsalapbettpusa"/>
    <w:uiPriority w:val="20"/>
    <w:qFormat/>
    <w:rsid w:val="00D506F1"/>
    <w:rPr>
      <w:rFonts w:ascii="Times New Roman" w:hAnsi="Times New Roman"/>
      <w:i/>
      <w:iCs/>
      <w:color w:val="auto"/>
      <w:sz w:val="24"/>
    </w:rPr>
  </w:style>
  <w:style w:type="character" w:styleId="Kiemels2">
    <w:name w:val="Strong"/>
    <w:basedOn w:val="Bekezdsalapbettpusa"/>
    <w:uiPriority w:val="22"/>
    <w:qFormat/>
    <w:rsid w:val="00D506F1"/>
    <w:rPr>
      <w:rFonts w:ascii="Times New Roman" w:hAnsi="Times New Roman"/>
      <w:b/>
      <w:bCs/>
      <w:sz w:val="24"/>
    </w:rPr>
  </w:style>
  <w:style w:type="paragraph" w:styleId="Idzet">
    <w:name w:val="Quote"/>
    <w:basedOn w:val="Norml"/>
    <w:next w:val="Norml"/>
    <w:link w:val="IdzetChar"/>
    <w:uiPriority w:val="29"/>
    <w:qFormat/>
    <w:rsid w:val="00D506F1"/>
    <w:pPr>
      <w:spacing w:before="200"/>
      <w:ind w:left="864" w:right="864"/>
      <w:jc w:val="center"/>
    </w:pPr>
    <w:rPr>
      <w:i/>
      <w:iCs/>
    </w:rPr>
  </w:style>
  <w:style w:type="character" w:customStyle="1" w:styleId="IdzetChar">
    <w:name w:val="Idézet Char"/>
    <w:basedOn w:val="Bekezdsalapbettpusa"/>
    <w:link w:val="Idzet"/>
    <w:uiPriority w:val="29"/>
    <w:rsid w:val="00D506F1"/>
    <w:rPr>
      <w:rFonts w:ascii="Times New Roman" w:hAnsi="Times New Roman"/>
      <w:i/>
      <w:iCs/>
      <w:sz w:val="24"/>
    </w:rPr>
  </w:style>
  <w:style w:type="character" w:styleId="Finomhivatkozs">
    <w:name w:val="Subtle Reference"/>
    <w:basedOn w:val="Bekezdsalapbettpusa"/>
    <w:uiPriority w:val="31"/>
    <w:qFormat/>
    <w:rsid w:val="00D506F1"/>
    <w:rPr>
      <w:rFonts w:ascii="Times New Roman" w:hAnsi="Times New Roman"/>
      <w:smallCaps/>
      <w:color w:val="auto"/>
      <w:sz w:val="24"/>
    </w:rPr>
  </w:style>
  <w:style w:type="character" w:styleId="Knyvcme">
    <w:name w:val="Book Title"/>
    <w:basedOn w:val="Bekezdsalapbettpusa"/>
    <w:uiPriority w:val="33"/>
    <w:qFormat/>
    <w:rsid w:val="00D506F1"/>
    <w:rPr>
      <w:rFonts w:ascii="Times New Roman" w:hAnsi="Times New Roman"/>
      <w:b/>
      <w:bCs/>
      <w:i/>
      <w:iCs/>
      <w:spacing w:val="5"/>
      <w:sz w:val="24"/>
    </w:rPr>
  </w:style>
  <w:style w:type="character" w:styleId="Helyrzszveg">
    <w:name w:val="Placeholder Text"/>
    <w:basedOn w:val="Bekezdsalapbettpusa"/>
    <w:uiPriority w:val="99"/>
    <w:semiHidden/>
    <w:rsid w:val="000061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237C2-570C-481A-B7AB-8B97A1A6F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0</Words>
  <Characters>0</Characters>
  <DocSecurity>0</DocSecurity>
  <Lines>0</Lines>
  <Paragraphs>0</Paragraphs>
  <ScaleCrop>false</ScaleCrop>
  <HeadingPairs>
    <vt:vector size="2" baseType="variant">
      <vt:variant>
        <vt:lpstr>Cím</vt:lpstr>
      </vt:variant>
      <vt:variant>
        <vt:i4>1</vt:i4>
      </vt:variant>
    </vt:vector>
  </HeadingPairs>
  <TitlesOfParts>
    <vt:vector size="1" baseType="lpstr">
      <vt:lpstr/>
    </vt:vector>
  </TitlesOfParts>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2018-09-19T09:52:00Z</dcterms:created>
  <dcterms:modified xsi:type="dcterms:W3CDTF">2020-01-21T10:07:00Z</dcterms:modified>
</cp:coreProperties>
</file>