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</w:p>
    <w:p>
      <w:pPr>
        <w:jc w:val="center"/>
      </w:pPr>
      <w:r>
        <w:rPr>
          <w:b/>
          <w:vertAlign w:val="baseline"/>
        </w:rPr>
        <w:t xml:space="preserve">mint másodfokú bíróság</w:t>
      </w:r>
    </w:p>
    <w:p>
      <w:pPr>
        <w:jc w:val="center"/>
      </w:pPr>
      <w:r>
        <w:rPr>
          <w:b/>
          <w:vertAlign w:val="baseline"/>
        </w:rPr>
        <w:t xml:space="preserve">v é g z é s 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Az ügy száma: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Kpkf.VII.40.606/2021/2</w:t>
      </w:r>
      <w:r>
        <w:rPr>
          <w:vertAlign w:val="baseline"/>
        </w:rPr>
        <w:t xml:space="preserve">.</w:t>
      </w:r>
    </w:p>
    <w:p>
      <w:pPr>
        <w:jc w:val="both"/>
      </w:pPr>
      <w:r>
        <w:rPr>
          <w:vertAlign w:val="baseline"/>
        </w:rPr>
        <w:t xml:space="preserve">A tanács tagjai: </w:t>
      </w:r>
      <w:r>
        <w:rPr>
          <w:vertAlign w:val="baseline"/>
        </w:rPr>
        <w:t xml:space="preserve">       </w:t>
      </w:r>
      <w:r>
        <w:rPr>
          <w:vertAlign w:val="baseline"/>
        </w:rPr>
        <w:t xml:space="preserve">      </w:t>
      </w:r>
      <w:r>
        <w:rPr>
          <w:vertAlign w:val="baseline"/>
        </w:rPr>
        <w:t xml:space="preserve">Dr. Fekete Ildikó</w:t>
      </w:r>
      <w:r>
        <w:rPr>
          <w:vertAlign w:val="baseline"/>
        </w:rPr>
        <w:t xml:space="preserve"> a tanács elnöke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 </w:t>
      </w:r>
      <w:r>
        <w:rPr>
          <w:vertAlign w:val="baseline"/>
        </w:rPr>
        <w:t xml:space="preserve">Dr. Remes Gábor</w:t>
      </w:r>
      <w:r>
        <w:rPr>
          <w:vertAlign w:val="baseline"/>
        </w:rPr>
        <w:t xml:space="preserve"> előadó bíró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 </w:t>
      </w:r>
      <w:r>
        <w:rPr>
          <w:vertAlign w:val="baseline"/>
        </w:rPr>
        <w:t xml:space="preserve">Dr. Varga Zs</w:t>
      </w:r>
      <w:r>
        <w:rPr>
          <w:vertAlign w:val="baseline"/>
        </w:rPr>
        <w:t xml:space="preserve">. András bíró</w:t>
      </w:r>
    </w:p>
    <w:p>
      <w:pPr>
        <w:jc w:val="both"/>
      </w:pPr>
      <w:r>
        <w:rPr>
          <w:vertAlign w:val="baseline"/>
        </w:rPr>
        <w:t xml:space="preserve">Az I. rendű felperes: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felperes1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 </w:t>
      </w:r>
      <w:r>
        <w:rPr>
          <w:vertAlign w:val="baseline"/>
        </w:rPr>
        <w:t xml:space="preserve">cím1</w:t>
      </w:r>
    </w:p>
    <w:p>
      <w:pPr>
        <w:jc w:val="both"/>
      </w:pPr>
      <w:r>
        <w:rPr>
          <w:vertAlign w:val="baseline"/>
        </w:rPr>
        <w:t xml:space="preserve">Az I. rendű felperes képviselője: </w:t>
      </w:r>
      <w:r>
        <w:rPr>
          <w:vertAlign w:val="baseline"/>
        </w:rPr>
        <w:t xml:space="preserve">jogi képviselő1</w:t>
      </w:r>
      <w:r>
        <w:rPr>
          <w:vertAlign w:val="baseline"/>
        </w:rPr>
        <w:t xml:space="preserve"> ügyvéd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 </w:t>
      </w:r>
      <w:r>
        <w:rPr>
          <w:vertAlign w:val="baseline"/>
        </w:rPr>
        <w:t xml:space="preserve">cím2</w:t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felperes: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felperes2</w:t>
      </w: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 </w:t>
      </w:r>
      <w:r>
        <w:rPr>
          <w:vertAlign w:val="baseline"/>
        </w:rPr>
        <w:t xml:space="preserve">cím3</w:t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felperes képviselője: </w:t>
      </w:r>
      <w:r>
        <w:rPr>
          <w:vertAlign w:val="baseline"/>
        </w:rPr>
        <w:t xml:space="preserve">Dóczi Tamás Ügyvédi Iroda,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 </w:t>
      </w:r>
      <w:r>
        <w:rPr>
          <w:vertAlign w:val="baseline"/>
        </w:rPr>
        <w:t xml:space="preserve">ügyintéző: </w:t>
      </w:r>
      <w:r>
        <w:rPr>
          <w:vertAlign w:val="baseline"/>
        </w:rPr>
        <w:t xml:space="preserve">jogi képviselő2</w:t>
      </w:r>
      <w:r>
        <w:rPr>
          <w:vertAlign w:val="baseline"/>
        </w:rPr>
        <w:t xml:space="preserve"> ügyvéd</w:t>
      </w:r>
    </w:p>
    <w:p>
      <w:pPr>
        <w:jc w:val="both"/>
      </w:pPr>
      <w:r>
        <w:rPr>
          <w:vertAlign w:val="baseline"/>
        </w:rPr>
        <w:t xml:space="preserve">      </w:t>
      </w:r>
      <w:r>
        <w:rPr>
          <w:vertAlign w:val="baseline"/>
        </w:rPr>
        <w:t xml:space="preserve">                                </w:t>
      </w:r>
      <w:r>
        <w:rPr>
          <w:vertAlign w:val="baseline"/>
        </w:rPr>
        <w:t xml:space="preserve">cím4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 </w:t>
      </w:r>
      <w:r>
        <w:rPr>
          <w:vertAlign w:val="baseline"/>
        </w:rPr>
        <w:t xml:space="preserve">jogi képviselő3</w:t>
      </w:r>
      <w:r>
        <w:rPr>
          <w:vertAlign w:val="baseline"/>
        </w:rPr>
        <w:t xml:space="preserve"> ügyvéd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 </w:t>
      </w:r>
      <w:r>
        <w:rPr>
          <w:vertAlign w:val="baseline"/>
        </w:rPr>
        <w:t xml:space="preserve">cím4</w:t>
      </w:r>
    </w:p>
    <w:p>
      <w:pPr>
        <w:jc w:val="both"/>
      </w:pPr>
      <w:r>
        <w:rPr>
          <w:vertAlign w:val="baseline"/>
        </w:rPr>
        <w:t xml:space="preserve">Az alperes:</w:t>
      </w:r>
      <w:r>
        <w:rPr>
          <w:vertAlign w:val="baseline"/>
        </w:rPr>
        <w:t xml:space="preserve">                    </w:t>
      </w:r>
      <w:r>
        <w:rPr>
          <w:vertAlign w:val="baseline"/>
        </w:rPr>
        <w:t xml:space="preserve">Közbeszerzési Hatóság Közbeszerzési Döntőbizottság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 </w:t>
      </w:r>
      <w:r>
        <w:rPr>
          <w:vertAlign w:val="baseline"/>
        </w:rPr>
        <w:t xml:space="preserve">cím5</w:t>
      </w:r>
    </w:p>
    <w:p>
      <w:pPr>
        <w:jc w:val="both"/>
      </w:pPr>
      <w:r>
        <w:rPr>
          <w:vertAlign w:val="baseline"/>
        </w:rPr>
        <w:t xml:space="preserve">Az alperes képviselője: </w:t>
      </w:r>
      <w:r>
        <w:rPr>
          <w:vertAlign w:val="baseline"/>
        </w:rPr>
        <w:t xml:space="preserve">Dr. Virágh Norbert</w:t>
      </w:r>
      <w:r>
        <w:rPr>
          <w:vertAlign w:val="baseline"/>
        </w:rPr>
        <w:t xml:space="preserve"> kamarai jogtanácsos</w:t>
      </w:r>
    </w:p>
    <w:p>
      <w:pPr>
        <w:jc w:val="both"/>
      </w:pPr>
      <w:r>
        <w:rPr>
          <w:vertAlign w:val="baseline"/>
        </w:rPr>
        <w:t xml:space="preserve">A per tárgya: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     </w:t>
      </w:r>
      <w:r>
        <w:rPr>
          <w:vertAlign w:val="baseline"/>
        </w:rPr>
        <w:t xml:space="preserve">   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közbeszerzési ügyben hozott D</w:t>
      </w:r>
      <w:r>
        <w:rPr>
          <w:vertAlign w:val="baseline"/>
        </w:rPr>
        <w:t xml:space="preserve">.887/23/2016.</w:t>
      </w: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             </w:t>
      </w:r>
      <w:r>
        <w:rPr>
          <w:vertAlign w:val="baseline"/>
        </w:rPr>
        <w:t xml:space="preserve">                     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  </w:t>
      </w:r>
      <w:r>
        <w:rPr>
          <w:vertAlign w:val="baseline"/>
        </w:rPr>
        <w:t xml:space="preserve">számú határozat, mint közigazgatási cselekmény</w:t>
      </w:r>
    </w:p>
    <w:p>
      <w:pPr>
        <w:jc w:val="both"/>
      </w:pPr>
      <w:r>
        <w:rPr>
          <w:vertAlign w:val="baseline"/>
        </w:rPr>
        <w:t xml:space="preserve">                             </w:t>
      </w:r>
      <w:r>
        <w:rPr>
          <w:vertAlign w:val="baseline"/>
        </w:rPr>
        <w:t xml:space="preserve">          </w:t>
      </w:r>
      <w:r>
        <w:rPr>
          <w:vertAlign w:val="baseline"/>
        </w:rPr>
        <w:t xml:space="preserve">jogszerűségének vizsgálata</w:t>
      </w:r>
    </w:p>
    <w:p>
      <w:pPr>
        <w:jc w:val="both"/>
      </w:pPr>
      <w:r>
        <w:rPr>
          <w:vertAlign w:val="baseline"/>
        </w:rPr>
        <w:t xml:space="preserve">A fellebbezett határozat: a </w:t>
      </w:r>
      <w:r>
        <w:rPr>
          <w:vertAlign w:val="baseline"/>
        </w:rPr>
        <w:t xml:space="preserve">Fővárosi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18.K.707.954/2020/11</w:t>
      </w:r>
      <w:r>
        <w:rPr>
          <w:vertAlign w:val="baseline"/>
        </w:rPr>
        <w:t xml:space="preserve">. számú végzése</w:t>
      </w:r>
    </w:p>
    <w:p>
      <w:pPr>
        <w:jc w:val="both"/>
      </w:pPr>
      <w:r>
        <w:rPr>
          <w:vertAlign w:val="baseline"/>
        </w:rPr>
        <w:t xml:space="preserve">A fellebbezést benyújtó fél: az I. rendű felperes (12. sorszám alatt)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Rendelkező rész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Fővárosi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18.K.707.954/2020/11</w:t>
      </w:r>
      <w:r>
        <w:rPr>
          <w:vertAlign w:val="baseline"/>
        </w:rPr>
        <w:t xml:space="preserve">.</w:t>
      </w:r>
      <w:r>
        <w:rPr>
          <w:vertAlign w:val="baseline"/>
        </w:rPr>
        <w:t xml:space="preserve"> számú végzését megváltoztatja, és megállapítja, hogy az I. rendű felperes ítélet elleni fellebbezése hatálytalan, egyúttal az iratokat visszaküldi az elsőfokú bíróságnak.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végzés ellen felülvizsgálatnak nincs helye.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Indokolás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fellebbezés alapjául szolgáló tényállás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2020. november 25-én kelt </w:t>
      </w:r>
      <w:r>
        <w:rPr>
          <w:vertAlign w:val="baseline"/>
        </w:rPr>
        <w:t xml:space="preserve">Kfv.II.37.432/2020/10</w:t>
      </w:r>
      <w:r>
        <w:rPr>
          <w:vertAlign w:val="baseline"/>
        </w:rPr>
        <w:t xml:space="preserve">. számú végzésével az elsőfokú bíróság ítéletét a polgári perrendtartásról szóló 1952. évi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törvény (a továbbiakban: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) 275. § (4) bekezdése alapján hatályon kívül helyezte és az elsőfokú bíróságot új eljárásra és új határozat hozatalára utasította.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megismételt eljárásban az elsőfokú bíróság a 2021. május 14-én kelt 5. sorszámú ítéletével a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339. § (1) bekezdése alapján az alperes határozatát részben megváltoztatta, és az I., valamint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felperesekkel szemben kiszabott bírságot </w:t>
      </w:r>
      <w:r>
        <w:rPr>
          <w:vertAlign w:val="baseline"/>
        </w:rPr>
        <w:t xml:space="preserve">2.000.000</w:t>
      </w:r>
      <w:r>
        <w:rPr>
          <w:vertAlign w:val="baseline"/>
        </w:rPr>
        <w:t xml:space="preserve"> - </w:t>
      </w:r>
      <w:r>
        <w:rPr>
          <w:vertAlign w:val="baseline"/>
        </w:rPr>
        <w:t xml:space="preserve">2.000.000</w:t>
      </w:r>
      <w:r>
        <w:rPr>
          <w:vertAlign w:val="baseline"/>
        </w:rPr>
        <w:t xml:space="preserve"> forintra mérsékelte, ezt meghaladóan a kereseteket elutasította. Rendelkezett a peres eljárás során felmerült perköltség és illeték viseléséről.</w:t>
      </w:r>
    </w:p>
    <w:p>
      <w:pPr>
        <w:jc w:val="left"/>
      </w:pPr>
      <w:r>
        <w:rPr>
          <w:vertAlign w:val="baseline"/>
        </w:rPr>
        <w:t xml:space="preserve">[3]                   </w:t>
      </w:r>
      <w:r>
        <w:rPr>
          <w:vertAlign w:val="baseline"/>
        </w:rPr>
        <w:t xml:space="preserve">Az ítélet ellen az I. és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felperesek fellebbezést jelentettek be. Az I. rendű felperes 7. sorszámú fellebbezését jogi képviselője a </w:t>
      </w:r>
      <w:r>
        <w:rPr>
          <w:vertAlign w:val="baseline"/>
        </w:rPr>
        <w:t xml:space="preserve">P23-20-02</w:t>
      </w:r>
      <w:r>
        <w:rPr>
          <w:vertAlign w:val="baseline"/>
        </w:rPr>
        <w:t xml:space="preserve"> számú, „Űrlap egyéb beadvány benyújtásához” elnevezésű nyomtatvány használatával terjesztette elő.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elsőfokú bíróság végzése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Az elsőfokú bíróság a 2021. június 15-én kelt, fellebbezett végzésével az I. rendű felperes ítélet elleni fellebbezését visszautasította.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Végzését</w:t>
      </w:r>
      <w:r>
        <w:rPr>
          <w:vertAlign w:val="baseline"/>
        </w:rPr>
        <w:t xml:space="preserve"> a közigazgatási perrendtartásról szóló 2017. évi I. törvény (a továbbiakban: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) 102. § (1) bekezdés d) pontjára alapította. Indokolásában felhívta a</w:t>
      </w:r>
      <w:r>
        <w:rPr>
          <w:vertAlign w:val="baseline"/>
        </w:rPr>
        <w:t xml:space="preserve"> polgári perrendtartásról szóló 2016. évi </w:t>
      </w:r>
      <w:r>
        <w:rPr>
          <w:vertAlign w:val="baseline"/>
        </w:rPr>
        <w:t xml:space="preserve">CXXX.</w:t>
      </w:r>
      <w:r>
        <w:rPr>
          <w:vertAlign w:val="baseline"/>
        </w:rPr>
        <w:t xml:space="preserve"> törvény (</w:t>
      </w:r>
      <w:r>
        <w:rPr>
          <w:vertAlign w:val="baseline"/>
        </w:rPr>
        <w:t xml:space="preserve">a továbbiakban: új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)</w:t>
      </w:r>
      <w:r>
        <w:rPr>
          <w:vertAlign w:val="baseline"/>
        </w:rPr>
        <w:t xml:space="preserve">, valamint</w:t>
      </w:r>
      <w:r>
        <w:rPr>
          <w:vertAlign w:val="baseline"/>
        </w:rPr>
        <w:t xml:space="preserve"> az elektronikus ügyintézés és a bizalmi szolgáltatások általános szabályairól szóló 2015. évi </w:t>
      </w:r>
      <w:r>
        <w:rPr>
          <w:vertAlign w:val="baseline"/>
        </w:rPr>
        <w:t xml:space="preserve">CCXXII</w:t>
      </w:r>
      <w:r>
        <w:rPr>
          <w:vertAlign w:val="baseline"/>
        </w:rPr>
        <w:t xml:space="preserve">. törvény (a továbbiakban: E-ügyintézési </w:t>
      </w:r>
      <w:r>
        <w:rPr>
          <w:vertAlign w:val="baseline"/>
        </w:rPr>
        <w:t xml:space="preserve">tv.</w:t>
      </w:r>
      <w:r>
        <w:rPr>
          <w:vertAlign w:val="baseline"/>
        </w:rPr>
        <w:t xml:space="preserve">)</w:t>
      </w:r>
      <w:r>
        <w:rPr>
          <w:vertAlign w:val="baseline"/>
        </w:rPr>
        <w:t xml:space="preserve"> egyes rendelkezéseit. Rámutatott, hogy az </w:t>
      </w:r>
      <w:r>
        <w:rPr>
          <w:vertAlign w:val="baseline"/>
        </w:rPr>
        <w:t xml:space="preserve">Országos Bírósági Hivatal</w:t>
      </w:r>
      <w:r>
        <w:rPr>
          <w:vertAlign w:val="baseline"/>
        </w:rPr>
        <w:t xml:space="preserve"> elnöke a fellebbezés előterjesztésére </w:t>
      </w:r>
      <w:r>
        <w:rPr>
          <w:vertAlign w:val="baseline"/>
        </w:rPr>
        <w:t xml:space="preserve">P20-20-01</w:t>
      </w:r>
      <w:r>
        <w:rPr>
          <w:vertAlign w:val="baseline"/>
        </w:rPr>
        <w:t xml:space="preserve"> számon, „Űrlap fellebbezés/bírósági meghagyással szemben ellentmondás előterjesztéséhez” elnevezéssel rendszeresített formanyomtatványt. Megállapította, hogy az I. rendű felperes az ítélet elleni fellebbezését nem ezen az űrlapon, hanem más nyomtatványon terjesztette elő, a fellebbezés benyújtására rendszeresített és közzétett űrlap elérhetetlenségére nem utalt. Mindezekre tekintettel az elektronikus ügyintézésre köteles I. rendű felperesi jogi képviselő elektronikus úton, de nem a jogszabályban meghatározott módon terjesztette elő az ítélet elleni fellebbezését. Hivatkozott a </w:t>
      </w:r>
      <w:r>
        <w:rPr>
          <w:vertAlign w:val="baseline"/>
        </w:rPr>
        <w:t xml:space="preserve">Kúria Kpkf.</w:t>
      </w:r>
      <w:r>
        <w:rPr>
          <w:vertAlign w:val="baseline"/>
        </w:rPr>
        <w:t xml:space="preserve">V</w:t>
      </w:r>
      <w:r>
        <w:rPr>
          <w:vertAlign w:val="baseline"/>
        </w:rPr>
        <w:t xml:space="preserve">.40.100/2020/2.</w:t>
      </w:r>
      <w:r>
        <w:rPr>
          <w:vertAlign w:val="baseline"/>
        </w:rPr>
        <w:t xml:space="preserve"> és </w:t>
      </w:r>
      <w:r>
        <w:rPr>
          <w:vertAlign w:val="baseline"/>
        </w:rPr>
        <w:t xml:space="preserve">Kpkf.VI.39.368/2021/3</w:t>
      </w:r>
      <w:r>
        <w:rPr>
          <w:vertAlign w:val="baseline"/>
        </w:rPr>
        <w:t xml:space="preserve">.</w:t>
      </w:r>
      <w:r>
        <w:rPr>
          <w:vertAlign w:val="baseline"/>
        </w:rPr>
        <w:t xml:space="preserve"> számú végzéseire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fellebbezés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Az I. rendű felperes fellebbezésében az elsőfokú bíróság végzésének hatályon kívül helyezését, az ítélet elleni fellebbezése érdemi elbírálását és az illetékfizetési kötelezettsége alóli mentesítését kérte.</w:t>
      </w:r>
    </w:p>
    <w:p>
      <w:pPr>
        <w:jc w:val="left"/>
      </w:pPr>
      <w:r>
        <w:rPr>
          <w:vertAlign w:val="baseline"/>
        </w:rPr>
        <w:t xml:space="preserve">[7]                   </w:t>
      </w:r>
      <w:r>
        <w:rPr>
          <w:vertAlign w:val="baseline"/>
        </w:rPr>
        <w:t xml:space="preserve">Jogi</w:t>
      </w:r>
      <w:r>
        <w:rPr>
          <w:vertAlign w:val="baseline"/>
        </w:rPr>
        <w:t xml:space="preserve"> álláspontja szerint a fellebbezés visszautasítása sérti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157. § (1) bekezdését, mert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csak a 2018. január 1-jén vagy azt követően előterjesztett keresetlevél alapján indult eljárásokban alkalmazandó. A jelen perben pedig a keresetlevelét még 2017-ben terjesztette elő. Továbbá, a fellebbezés visszautasítására azért sem volt törvényes lehetőség, mert a bíróságnak törekednie kell a helyes jogalkalmazáshoz szükséges tényállás megállapítására. Az iratokból megállapítható mindaz, amit az ítélet elleni fellebbezésében a személyes illetékmentességével kapcsolatban előadott, ennek a ténynek a figyelembevétele kötelező, mindenkivel szemben hatályos.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Felhívta a figyelmet az ún. irányár alkalmazhatatlanságára is.</w:t>
      </w:r>
      <w:r>
        <w:rPr>
          <w:vertAlign w:val="baseline"/>
        </w:rPr>
        <w:t xml:space="preserve"> </w:t>
      </w:r>
      <w:r>
        <w:br/>
      </w:r>
      <w:r>
        <w:rPr>
          <w:vertAlign w:val="baseline"/>
        </w:rPr>
        <w:t xml:space="preserve">[8]  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felperes és az alperes a fellebbezésre nem tettek észrevételt.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döntése és jogi indokai</w:t>
      </w:r>
    </w:p>
    <w:p>
      <w:pPr>
        <w:jc w:val="left"/>
      </w:pPr>
      <w:r>
        <w:rPr>
          <w:vertAlign w:val="baseline"/>
        </w:rPr>
        <w:t xml:space="preserve">[9]                   </w:t>
      </w:r>
      <w:r>
        <w:rPr>
          <w:vertAlign w:val="baseline"/>
        </w:rPr>
        <w:t xml:space="preserve">Az I. rendű felperes a fellebbezésében alappal hivatkozott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157. § (1) bekezdésének megsértésére. Miután a per 2018. január 1-jét megelőzően előterjesztett keresetlevél alapján indult, így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és azon keresztül az új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szabályainak alkalmazására nem kerülhetett sor. Az E-ügyintézési tv.-t azonban ebben az eljárásban is alkalmazni kell.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jelen perben alkalmazandó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340/B. § (1) bekezdése folytán irányadó 394/C. § (2) bekezdés c) pontja értelmében, ha a fél jogi képviselővel jár el, a jogi képviselő a keresetlevelet, továbbá minden egyéb beadványt, okirati bizonyítékot kizárólag elektronikusan, az űrlapbenyújtás támogatási szolgáltatás igénybevételével nyújthatja be a bírósághoz, és a bíróság is elektronikusan kézbesít a jogi képviselő részére. A 394/G. § (6) bekezdés első mondata szerint az elektronikus úton kapcsolatot tartónak a beadványt – ha a beadvány előterjesztésére az </w:t>
      </w:r>
      <w:r>
        <w:rPr>
          <w:vertAlign w:val="baseline"/>
        </w:rPr>
        <w:t xml:space="preserve">Országos Bírósági Hivatal</w:t>
      </w:r>
      <w:r>
        <w:rPr>
          <w:vertAlign w:val="baseline"/>
        </w:rPr>
        <w:t xml:space="preserve"> elnöke űrlapot rendszeresít – űrlapon kell előterjesztenie. A bírósági ügyvitel szabályairól szóló </w:t>
      </w:r>
      <w:r>
        <w:rPr>
          <w:vertAlign w:val="baseline"/>
        </w:rPr>
        <w:t xml:space="preserve">14/2002</w:t>
      </w:r>
      <w:r>
        <w:rPr>
          <w:vertAlign w:val="baseline"/>
        </w:rPr>
        <w:t xml:space="preserve">. (VIII. 1.) </w:t>
      </w:r>
      <w:r>
        <w:rPr>
          <w:vertAlign w:val="baseline"/>
        </w:rPr>
        <w:t xml:space="preserve">IM</w:t>
      </w:r>
      <w:r>
        <w:rPr>
          <w:vertAlign w:val="baseline"/>
        </w:rPr>
        <w:t xml:space="preserve"> rendelet (Büsz.) 75/C. § (2b) bekezdése szerint az </w:t>
      </w:r>
      <w:r>
        <w:rPr>
          <w:vertAlign w:val="baseline"/>
        </w:rPr>
        <w:t xml:space="preserve">Országos Bírósági Hivatal</w:t>
      </w:r>
      <w:r>
        <w:rPr>
          <w:vertAlign w:val="baseline"/>
        </w:rPr>
        <w:t xml:space="preserve"> elnöke a beadvány elektronikus úton történő előterjesztése esetére (…) űrlapot rendszeresíthet. Ha az </w:t>
      </w:r>
      <w:r>
        <w:rPr>
          <w:vertAlign w:val="baseline"/>
        </w:rPr>
        <w:t xml:space="preserve">Országos Bírósági Hivatal</w:t>
      </w:r>
      <w:r>
        <w:rPr>
          <w:vertAlign w:val="baseline"/>
        </w:rPr>
        <w:t xml:space="preserve"> elnöke a beadvány elektronikus úton történő előterjesztésére űrlapot rendszeresít, az elektronikus úton kapcsolatot tartónak a beadványt űrlapon kell előterjesztenie.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Az E-ügyintézési tv. 9. § (5) bekezdése alapján, ha jogszabály egy nyilatkozat megtétele vonatkozásában az elektronikus kapcsolattartást – vagy az elektronikus kapcsolattartás módját – kötelezővé teszi, az e követelménynek meg nem felelő nyilatkozat – a törvényben meghatározott és a (4) bekezdésben foglalt esetek kivételével – hatálytalan. </w:t>
      </w:r>
    </w:p>
    <w:p>
      <w:pPr>
        <w:jc w:val="left"/>
      </w:pPr>
      <w:r>
        <w:rPr>
          <w:vertAlign w:val="baseline"/>
        </w:rPr>
        <w:t xml:space="preserve">[11]               </w:t>
      </w:r>
      <w:r>
        <w:rPr>
          <w:vertAlign w:val="baseline"/>
        </w:rPr>
        <w:t xml:space="preserve">A perbeli esetben az I. rendű felperes a fellebbezésében azt az elsőfokú bíróság által is megállapított tényt nem vitatta, hogy jogi képviselője az ítélet elleni fellebbezését ugyan elektronikus úton, de nem az </w:t>
      </w:r>
      <w:r>
        <w:rPr>
          <w:vertAlign w:val="baseline"/>
        </w:rPr>
        <w:t xml:space="preserve">Országos Bírósági Hivatal</w:t>
      </w:r>
      <w:r>
        <w:rPr>
          <w:vertAlign w:val="baseline"/>
        </w:rPr>
        <w:t xml:space="preserve"> elnöke által erre rendszeresített P</w:t>
      </w:r>
      <w:r>
        <w:rPr>
          <w:vertAlign w:val="baseline"/>
        </w:rPr>
        <w:t xml:space="preserve">20-20-01</w:t>
      </w:r>
      <w:r>
        <w:rPr>
          <w:vertAlign w:val="baseline"/>
        </w:rPr>
        <w:t xml:space="preserve"> számú, „Űrlap fellebbezés/bírósági meghagyással szemben ellentmondás előterjesztéséhez” elnevezésű formanyomtatványon, hanem a P</w:t>
      </w:r>
      <w:r>
        <w:rPr>
          <w:vertAlign w:val="baseline"/>
        </w:rPr>
        <w:t xml:space="preserve">23-20-02</w:t>
      </w:r>
      <w:r>
        <w:rPr>
          <w:vertAlign w:val="baseline"/>
        </w:rPr>
        <w:t xml:space="preserve"> számú, „Űrlap egyéb beadvány benyújtásához” elnevezésű nyomtatvány használatával – azaz nem a jogszabályban meghatározott módon – terjesztette elő. Nem hivatkozott arra sem, hogy a perbeli esetben a vele szembeni hátrányos jogkövetkezmény alkalmazását kizáró, különösen valamely, az E-ügyintézési tv. 9. § (4) bekezdése szerinti ok állna fenn, a jogszabályban meghatározott módon történő benyújtásnak akadálya lett volna.</w:t>
      </w:r>
      <w:r>
        <w:rPr>
          <w:vertAlign w:val="baseline"/>
        </w:rPr>
        <w:t xml:space="preserve"> Az I. rendű felperes tehát a fentebb írt jogszabályi kötelezettségének nem tett eleget, amelynek jogkövetkezményét viselni köteles.</w:t>
      </w:r>
      <w:r>
        <w:rPr>
          <w:vertAlign w:val="baseline"/>
        </w:rPr>
        <w:t xml:space="preserve"> </w:t>
      </w:r>
      <w:r>
        <w:br/>
      </w:r>
      <w:r>
        <w:rPr>
          <w:vertAlign w:val="baseline"/>
        </w:rPr>
        <w:t xml:space="preserve">[12]               </w:t>
      </w:r>
      <w:r>
        <w:rPr>
          <w:vertAlign w:val="baseline"/>
        </w:rPr>
        <w:t xml:space="preserve">Miután</w:t>
      </w:r>
      <w:r>
        <w:rPr>
          <w:vertAlign w:val="baseline"/>
        </w:rPr>
        <w:t xml:space="preserve"> a perbeli ügyben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szabályai nem alkalmazhatók, így a fellebbezés visszautasítására sem kerülhetett sor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102. § (1) bekezdés d) pontjára alapítottan, így az elsőfokú bíróság által hivatkozott kúriai gyakorlat sem mérvadó. Azonban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Kpkf.V.40.410/2020/3</w:t>
      </w:r>
      <w:r>
        <w:rPr>
          <w:vertAlign w:val="baseline"/>
        </w:rPr>
        <w:t xml:space="preserve">. számú határozatában – egy ugyancsak a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hatálya alá tartozó ügyben – rámutatott:</w:t>
      </w:r>
      <w:r>
        <w:rPr>
          <w:vertAlign w:val="baseline"/>
        </w:rPr>
        <w:t xml:space="preserve"> ilyen körülmények között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fellebbezés hatálytalannak minősül, mivel a jogszabályban foglalt követelménynek nem felel meg [E-ügyintézési tv. 9. § (5) bek.]; hatálytalan fellebbezés nyomán pedig a másodfokú eljárás nem indulhat meg. Ezért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elsőfokú bíróság végzését a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259. §-a folytán alkalmazandó 253. § (2) bekezdése alapján megváltoztatva – a hivatkozott üggyel azonosan – </w:t>
      </w:r>
      <w:r>
        <w:rPr>
          <w:vertAlign w:val="baseline"/>
        </w:rPr>
        <w:t xml:space="preserve">az I. rendű felperes ítélet elleni fellebbezésének hatálytalanságát állapította meg, egyúttal az iratokat az elsőfokú bíróságnak visszaküldte.</w:t>
      </w:r>
      <w:r>
        <w:rPr>
          <w:vertAlign w:val="baseline"/>
        </w:rPr>
        <w:t xml:space="preserve"> </w:t>
      </w:r>
      <w:r>
        <w:br/>
      </w:r>
      <w:r>
        <w:rPr>
          <w:vertAlign w:val="baseline"/>
        </w:rPr>
        <w:t xml:space="preserve">[13]               </w:t>
      </w:r>
      <w:r>
        <w:rPr>
          <w:vertAlign w:val="baseline"/>
        </w:rPr>
        <w:t xml:space="preserve">A jelen másodfokú eljárás tárgyát kizárólag az elsőfokú bíróság I. rendű felperes ítélet elleni fellebbezését visszautasító végzésének jogszerűsége képezte, ezért a végzés elleni fellebbezésben a per érdemét érintően előadottak kapcsán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nem foglalhatott állást. </w:t>
      </w: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Az elsőfokú bíróságnak a továbbiakban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felperes ítélet elleni fellebbezését kell megvizsgálnia, és annak alapján a szükséges intézkedéseket megtennie [régi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235. § (2) bek., 237. §, illetve 238. § (1) bek.].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döntés elvi tartalma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          </w:t>
      </w:r>
      <w:r>
        <w:rPr>
          <w:i/>
          <w:vertAlign w:val="baseline"/>
        </w:rPr>
        <w:t xml:space="preserve">Hatálytalan</w:t>
      </w:r>
      <w:r>
        <w:rPr>
          <w:i/>
          <w:vertAlign w:val="baseline"/>
        </w:rPr>
        <w:t xml:space="preserve"> fellebbezés nyomán a másodfokú eljárás nem indulhat meg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Záró rész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végzés ellen beadott fellebbezés tárgyában a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257. § (1) bekezdésének megfelelően tárgyaláson kívül határozott.</w:t>
      </w:r>
    </w:p>
    <w:p>
      <w:pPr>
        <w:jc w:val="left"/>
      </w:pPr>
      <w:r>
        <w:rPr>
          <w:vertAlign w:val="baseline"/>
        </w:rPr>
        <w:t xml:space="preserve">[17]               </w:t>
      </w:r>
      <w:r>
        <w:rPr>
          <w:vertAlign w:val="baseline"/>
        </w:rPr>
        <w:t xml:space="preserve">A felek a másodfokú eljárásban költséget nem igényeltek, ezért e körben a </w:t>
      </w:r>
      <w:r>
        <w:rPr>
          <w:vertAlign w:val="baseline"/>
        </w:rPr>
        <w:t xml:space="preserve">Kúriának</w:t>
      </w:r>
      <w:r>
        <w:rPr>
          <w:vertAlign w:val="baseline"/>
        </w:rPr>
        <w:t xml:space="preserve"> a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77-78. §-aira figyelemmel döntenie nem kellett.</w:t>
      </w:r>
      <w:r>
        <w:rPr>
          <w:vertAlign w:val="baseline"/>
        </w:rPr>
        <w:t xml:space="preserve"> </w:t>
      </w:r>
      <w:r>
        <w:br/>
      </w:r>
      <w:r>
        <w:rPr>
          <w:vertAlign w:val="baseline"/>
        </w:rPr>
        <w:t xml:space="preserve">[18]               </w:t>
      </w:r>
      <w:r>
        <w:rPr>
          <w:vertAlign w:val="baseline"/>
        </w:rPr>
        <w:t xml:space="preserve">A másodfokú eljárás az </w:t>
      </w:r>
      <w:r>
        <w:rPr>
          <w:vertAlign w:val="baseline"/>
        </w:rPr>
        <w:t xml:space="preserve">illetékekről szóló 1990. évi </w:t>
      </w:r>
      <w:r>
        <w:rPr>
          <w:vertAlign w:val="baseline"/>
        </w:rPr>
        <w:t xml:space="preserve">XCIII.</w:t>
      </w:r>
      <w:r>
        <w:rPr>
          <w:vertAlign w:val="baseline"/>
        </w:rPr>
        <w:t xml:space="preserve"> törvény (Itv.) </w:t>
      </w:r>
      <w:r>
        <w:rPr>
          <w:vertAlign w:val="baseline"/>
        </w:rPr>
        <w:t xml:space="preserve">57. § (1) bekezdés a) pontja értelmében tárgyi illetékmentes.</w:t>
      </w:r>
      <w:r>
        <w:rPr>
          <w:vertAlign w:val="baseline"/>
        </w:rPr>
        <w:t xml:space="preserve"> </w:t>
      </w:r>
      <w:r>
        <w:br/>
      </w:r>
      <w:r>
        <w:rPr>
          <w:vertAlign w:val="baseline"/>
        </w:rPr>
        <w:t xml:space="preserve">[19]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által hozott határozat elleni felülvizsgálat lehetőségét a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271. § (1) bekezdés e) pontja kizárja.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Budapest, 2021. szeptember 7.</w:t>
      </w:r>
    </w:p>
    <w:p>
      <w:pPr>
        <w:jc w:val="both"/>
      </w:pPr>
      <w:r>
        <w:rPr>
          <w:vertAlign w:val="baseline"/>
        </w:rPr>
        <w:t xml:space="preserve">                                                                                               </w:t>
      </w:r>
      <w:r>
        <w:rPr>
          <w:vertAlign w:val="baseline"/>
        </w:rPr>
        <w:t xml:space="preserve">Dr. Fekete Ildikó</w:t>
      </w:r>
      <w:r>
        <w:rPr>
          <w:vertAlign w:val="baseline"/>
        </w:rPr>
        <w:t xml:space="preserve"> s.k.</w:t>
      </w:r>
    </w:p>
    <w:p>
      <w:pPr>
        <w:jc w:val="both"/>
      </w:pPr>
      <w:r>
        <w:rPr>
          <w:vertAlign w:val="baseline"/>
        </w:rPr>
        <w:t xml:space="preserve">                                                                                                     a tanács elnöke</w:t>
      </w:r>
    </w:p>
    <w:p>
      <w:pPr>
        <w:jc w:val="both"/>
      </w:pPr>
      <w:r>
        <w:rPr>
          <w:vertAlign w:val="baseline"/>
        </w:rPr>
        <w:t xml:space="preserve">Dr. Remes Gábor</w:t>
      </w:r>
      <w:r>
        <w:rPr>
          <w:vertAlign w:val="baseline"/>
        </w:rPr>
        <w:t xml:space="preserve"> s.k.                                                                                                                                    </w:t>
      </w:r>
      <w:r>
        <w:rPr>
          <w:vertAlign w:val="baseline"/>
        </w:rPr>
        <w:t xml:space="preserve">Dr. Varga Zs</w:t>
      </w:r>
      <w:r>
        <w:rPr>
          <w:vertAlign w:val="baseline"/>
        </w:rPr>
        <w:t xml:space="preserve">. András s.k.</w:t>
      </w:r>
    </w:p>
    <w:p>
      <w:pPr>
        <w:jc w:val="both"/>
      </w:pPr>
      <w:r>
        <w:rPr>
          <w:vertAlign w:val="baseline"/>
        </w:rPr>
        <w:t xml:space="preserve">   előadó bíró                                                                                                                                                               bíró </w:t>
      </w:r>
    </w:p>
    <w:p>
      <w:pPr>
        <w:jc w:val="both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vertAlign w:val="baseline"/>
        </w:rPr>
        <w:t xml:space="preserve">   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VII.Kpkf.40.606/2021/2/I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