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                     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Kfv.II.37.630/2022/5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 </w:t>
      </w:r>
      <w:r>
        <w:rPr>
          <w:vertAlign w:val="baseline"/>
        </w:rPr>
        <w:t xml:space="preserve">Dr. Kovács András</w:t>
      </w:r>
      <w:r>
        <w:rPr>
          <w:vertAlign w:val="baseline"/>
        </w:rPr>
        <w:t xml:space="preserve"> a tanács elnöke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Dr. Szilas Judit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Dr. Bögös Fruzsina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Dr. Figula Ildikó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Dr. Tóth Kincső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felperes1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cím1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felperes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Dr. Ivánfi Dávid György</w:t>
      </w:r>
      <w:r>
        <w:rPr>
          <w:vertAlign w:val="baseline"/>
        </w:rPr>
        <w:t xml:space="preserve"> ügyvéd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               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       </w:t>
      </w:r>
      <w:r>
        <w:rPr>
          <w:vertAlign w:val="baseline"/>
        </w:rPr>
        <w:t xml:space="preserve">Heves Vármegyei Kormányhivatal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                         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alperes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 </w:t>
      </w:r>
      <w:r>
        <w:rPr>
          <w:vertAlign w:val="baseline"/>
        </w:rPr>
        <w:t xml:space="preserve">jogi képviselő1</w:t>
      </w:r>
      <w:r>
        <w:rPr>
          <w:vertAlign w:val="baseline"/>
        </w:rPr>
        <w:t xml:space="preserve"> kamarai jogtanácsos</w:t>
      </w:r>
      <w:r>
        <w:rPr>
          <w:vertAlign w:val="baseline"/>
        </w:rPr>
        <w:t xml:space="preserve">   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                            </w:t>
      </w:r>
      <w:r>
        <w:rPr>
          <w:vertAlign w:val="baseline"/>
        </w:rPr>
        <w:t xml:space="preserve">ingatlan-nyilvántartási ügy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</w:t>
      </w:r>
      <w:r>
        <w:rPr>
          <w:vertAlign w:val="baseline"/>
        </w:rPr>
        <w:t xml:space="preserve"> felperes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felülvizsgálni kért jogerős határozat: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Miskolci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4.K.700.376/2022/7</w:t>
      </w:r>
      <w:r>
        <w:rPr>
          <w:vertAlign w:val="baseline"/>
        </w:rPr>
        <w:t xml:space="preserve">. számú ítélete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Miskolci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4.K.700.376/2022/7</w:t>
      </w:r>
      <w:r>
        <w:rPr>
          <w:vertAlign w:val="baseline"/>
        </w:rPr>
        <w:t xml:space="preserve">. számú – 8. sorszám alatt kijavított és 9. sorszám alatt kiegészített – ítéletét hatályon kívül helyezi, és a bíróságot új eljárás lefolytatására és új határozat hozatalára utasítja.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megállapítja, hogy a felülvizsgálati eljárásban a felperesnek </w:t>
      </w:r>
      <w:r>
        <w:rPr>
          <w:vertAlign w:val="baseline"/>
        </w:rPr>
        <w:t xml:space="preserve">50.000.-</w:t>
      </w:r>
      <w:r>
        <w:rPr>
          <w:vertAlign w:val="baseline"/>
        </w:rPr>
        <w:t xml:space="preserve"> (ötvenezer), az alperesnek </w:t>
      </w:r>
      <w:r>
        <w:rPr>
          <w:vertAlign w:val="baseline"/>
        </w:rPr>
        <w:t xml:space="preserve">30.000.-</w:t>
      </w:r>
      <w:r>
        <w:rPr>
          <w:vertAlign w:val="baseline"/>
        </w:rPr>
        <w:t xml:space="preserve"> (harmincezer) forint felülvizsgálati eljárási költsége merült fel.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A végzés ellen további felülvizsgálatnak nincs helye.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felülvizsgálat alapjául szolgáló tényállás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helység1i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szám</w:t>
      </w:r>
      <w:r>
        <w:rPr>
          <w:vertAlign w:val="baseline"/>
        </w:rPr>
        <w:t xml:space="preserve"> helyrajzi számú, </w:t>
      </w:r>
      <w:r>
        <w:rPr>
          <w:vertAlign w:val="baseline"/>
        </w:rPr>
        <w:t xml:space="preserve">cím4</w:t>
      </w:r>
      <w:r>
        <w:rPr>
          <w:vertAlign w:val="baseline"/>
        </w:rPr>
        <w:t xml:space="preserve"> szám alatti ingatlan (a továbbiakban: perbeli ingatlan) </w:t>
      </w:r>
      <w:r>
        <w:rPr>
          <w:vertAlign w:val="baseline"/>
        </w:rPr>
        <w:t xml:space="preserve">L.A.</w:t>
      </w:r>
      <w:r>
        <w:rPr>
          <w:vertAlign w:val="baseline"/>
        </w:rPr>
        <w:t xml:space="preserve"> tulajdonában áll (a továbbiakban: L. A.).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perbeli ingatlan megvásárlására vonatkozóan L. A. adásvételi szerződést kötött kiskorú </w:t>
      </w:r>
      <w:r>
        <w:rPr>
          <w:vertAlign w:val="baseline"/>
        </w:rPr>
        <w:t xml:space="preserve">L.J.nal</w:t>
      </w:r>
      <w:r>
        <w:rPr>
          <w:vertAlign w:val="baseline"/>
        </w:rPr>
        <w:t xml:space="preserve"> (a továbbiakban: kk. L. J.). Az adásvételi szerződés és tulajdonjog bejegyzésére irányuló kérelem 2021. november 19. napján érkezett, amely alapján alperes az ingatlan-nyilvántartásban a perbeli ingatlan tulajdoni lapján </w:t>
      </w:r>
      <w:r>
        <w:rPr>
          <w:vertAlign w:val="baseline"/>
        </w:rPr>
        <w:t xml:space="preserve">338203/2021</w:t>
      </w:r>
      <w:r>
        <w:rPr>
          <w:vertAlign w:val="baseline"/>
        </w:rPr>
        <w:t xml:space="preserve">.11.19. széljegyszám alatt a tulajdonjog bejegyzés iránti kérelmet feltüntette, majd a tulajdonjog bejegyzési eljárást a </w:t>
      </w:r>
      <w:r>
        <w:rPr>
          <w:vertAlign w:val="baseline"/>
        </w:rPr>
        <w:t xml:space="preserve">Hatvani Járási Hivatal Hatósági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Gyámügyi Osztály</w:t>
      </w:r>
      <w:r>
        <w:rPr>
          <w:vertAlign w:val="baseline"/>
        </w:rPr>
        <w:t xml:space="preserve"> (a továbbiakban: gyámhatóság) jogerős jóváhagyó határozatának a benyújtásáig felfüggesztette.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Dr. Á.K.</w:t>
      </w:r>
      <w:r>
        <w:rPr>
          <w:vertAlign w:val="baseline"/>
        </w:rPr>
        <w:t xml:space="preserve"> önálló bírósági végrehajtó 2021. december 6. napján L. A. adóssal szemben folyamatban lévő végrehajtási eljárásban a felperes mint jogosult javára végrehajtási jog bejegyzése iránti kérelmet terjesztett elő, amely alapján az alperes </w:t>
      </w:r>
      <w:r>
        <w:rPr>
          <w:vertAlign w:val="baseline"/>
        </w:rPr>
        <w:t xml:space="preserve">330439/2022/2021</w:t>
      </w:r>
      <w:r>
        <w:rPr>
          <w:vertAlign w:val="baseline"/>
        </w:rPr>
        <w:t xml:space="preserve">.12.07. számú határozatával az ingatlan-nyilvántartásba hatmillió forint főkövetelés és járulékai erejéig a végrehajtási jogot bejegyezte.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Az alperes 2022. február 15. napján kelt 330439-</w:t>
      </w:r>
      <w:r>
        <w:rPr>
          <w:vertAlign w:val="baseline"/>
        </w:rPr>
        <w:t xml:space="preserve">3/2022</w:t>
      </w:r>
      <w:r>
        <w:rPr>
          <w:vertAlign w:val="baseline"/>
        </w:rPr>
        <w:t xml:space="preserve">.(2021.12.07.) számú határozatával a felperes javára történő végrehajtási jog bejegyzéséről rendelkező </w:t>
      </w:r>
      <w:r>
        <w:rPr>
          <w:vertAlign w:val="baseline"/>
        </w:rPr>
        <w:t xml:space="preserve">330439/2022/2021</w:t>
      </w:r>
      <w:r>
        <w:rPr>
          <w:vertAlign w:val="baseline"/>
        </w:rPr>
        <w:t xml:space="preserve">.12.07. számú határozatát saját hatáskörben visszavonta, az ingatlan tulajdoni lapjára a széljegyet visszaállította és tájékoztatta a felperest, hogy a végrehajtási jog bejegyzése iránt benyújtott megkeresés elintézését az ingatlan-nyilvántartásról szóló 1997. évi </w:t>
      </w:r>
      <w:r>
        <w:rPr>
          <w:vertAlign w:val="baseline"/>
        </w:rPr>
        <w:t xml:space="preserve">CXLI.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) 47/A. § (1) bekezdés a) pontja alapján a rangsorban előrébb álló beadványok elintézéséig függőben tartja.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Határozata</w:t>
      </w:r>
      <w:r>
        <w:rPr>
          <w:vertAlign w:val="baseline"/>
        </w:rPr>
        <w:t xml:space="preserve"> indokolásában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7. § szerinti rangsor elvére és a 44. § (1) bekezdésbe foglalt, a beadványok iktatószámok sorrendje szerinti elintézésére utalva leszögezte, hogy a tulajdonjog bejegyzésére irányuló széljegy a végrehajtási jog bejegyzésére vonatkozó beadványt megelőzi, ezért a végrehajtási jogra vonatkozó kérelem elintézését csak a tulajdonjog bejegyzésére irányuló korábbi kérelem eredménye függvényében lehet elintézni.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határozat visszavonásával összefüggésben hivatkozott még az általános közigazgatási rendtartásról szóló 2016. évi </w:t>
      </w:r>
      <w:r>
        <w:rPr>
          <w:vertAlign w:val="baseline"/>
        </w:rPr>
        <w:t xml:space="preserve">CL.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) 120. § (1) bekezdésében foglaltakra. Hangsúlyozta, hogy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47/A. § (1) bekezdés a) pontjára tekintettel a korábbi határozata jogszabályt sért, mivel a végrehajtási jog bejegyzésére irányuló eljárást a rangsorban előrébb álló tulajdonjog bejegyzésre irányuló beadvány elintézéséig függőben kell tartani.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kereseti kérelem és az alperes védirata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felperes az alperes visszavonó határozatával szemben előterjesztett keresetében elsődlegesen a határozat megsemmisítését, másodlagosan a határozat hatályon kívül helyezését és az alperes új eljárásra kötelezését kérte. Állította, hogy alperes határozata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2. § (1) bekezdését, (2) bekezdés a) pontját, 4. §-át, 6. § (3) bekezdését, 62. §-át, 85. §-át, 120. §-át,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7. § (1) bekezdését, 17. §-át, 44. § (1) bekezdését, 46-47. §-át, 47/A. § (1) bekezdés a) pontját, 54. § (4) bekezdését, a bírósági végrehajtásról szóló 1994. évi </w:t>
      </w:r>
      <w:r>
        <w:rPr>
          <w:vertAlign w:val="baseline"/>
        </w:rPr>
        <w:t xml:space="preserve">LIII.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) 136. § (1) bekezdését, 138. § (3) bekezdését és az </w:t>
      </w:r>
      <w:r>
        <w:rPr>
          <w:vertAlign w:val="baseline"/>
        </w:rPr>
        <w:t xml:space="preserve">Alaptörvény XXIV.</w:t>
      </w:r>
      <w:r>
        <w:rPr>
          <w:vertAlign w:val="baseline"/>
        </w:rPr>
        <w:t xml:space="preserve"> cikk (1) bekezdését sérti.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Lényeges</w:t>
      </w:r>
      <w:r>
        <w:rPr>
          <w:vertAlign w:val="baseline"/>
        </w:rPr>
        <w:t xml:space="preserve"> körülménynek tartotta, hogy az ezt megelőzően előterjesztett tulajdonjog bejegyzése iránti kérelem kk. L. J. javára azért nem volt teljesíthető, mivel a kérelmező nem csatolta a gyámhatóság jogerős jóváhagyó határozatát, erre figyelemmel az adásvételi szerződés súlyos hiányossága miatt nem volt érvényes. Ranghely kk. L. J. kérelmére csak akkor lett volna alapítható, ha a bejegyzés alapjául szolgáló kérelem mellett a bejegyzés alapjául szolgáló okirat is benyújtásra kerül.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Miután</w:t>
      </w:r>
      <w:r>
        <w:rPr>
          <w:vertAlign w:val="baseline"/>
        </w:rPr>
        <w:t xml:space="preserve"> az alperes a visszavonó határozata időpontjában a </w:t>
      </w:r>
      <w:r>
        <w:rPr>
          <w:vertAlign w:val="baseline"/>
        </w:rPr>
        <w:t xml:space="preserve">338203/2021</w:t>
      </w:r>
      <w:r>
        <w:rPr>
          <w:vertAlign w:val="baseline"/>
        </w:rPr>
        <w:t xml:space="preserve">.2021.11.19. széljegyszámú kérelmet törölte és a felfüggesztés tényét a tulajdoni lap </w:t>
      </w:r>
      <w:r>
        <w:rPr>
          <w:vertAlign w:val="baseline"/>
        </w:rPr>
        <w:t xml:space="preserve">III</w:t>
      </w:r>
      <w:r>
        <w:rPr>
          <w:vertAlign w:val="baseline"/>
        </w:rPr>
        <w:t xml:space="preserve">/8. szám alatt </w:t>
      </w:r>
      <w:r>
        <w:rPr>
          <w:vertAlign w:val="baseline"/>
        </w:rPr>
        <w:t xml:space="preserve">330669/2022/2021</w:t>
      </w:r>
      <w:r>
        <w:rPr>
          <w:vertAlign w:val="baseline"/>
        </w:rPr>
        <w:t xml:space="preserve">.11.19. új sorszámon tüntette fel, e tény nem volt akadálya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mint speciális jogszabály alapján bejegyzendő végrehajtási jognak, illetőleg már nem volt olyan beadvány a rangsorban, amely a végrehajtó megkeresése teljesítésének akadálya lett volna.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138. § (3) bekezdés soron kívüli eljárásra vonatkozó rendelkezése szintén azt támasztja alá, hogy a végrehajtási joga korábbi bejegyzésére jogszerűen került sor.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a végrehajtási jogról szóló határozat visszavonásának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határozatban felhívott rendelkezései alapján nem volt helye és az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120. § (2) bekezdésébe is ütközik, mert a döntés visszavonása a jóhiszeműen szerzett és gyakorolt jogát sérti.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Megjegyezte,</w:t>
      </w:r>
      <w:r>
        <w:rPr>
          <w:vertAlign w:val="baseline"/>
        </w:rPr>
        <w:t xml:space="preserve"> hogy a földhivatalhoz benyújtott adásvételi szerződésnek az volt a célja, hogy a kielégítési jogát rosszhiszeműen elvonja.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védiratában a határozatában foglalt indokait fenntartva a felperes keresetének elutasítását kérte.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jogerős ítélet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törvényszék ítéletével a felperes keresetét elutasította. Indokolásában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7. § (1) bekezdését, 44. § (1) bekezdését, 47. § (3b) bekezdését, 47/A. § (1) bekezdés a) pontját, a Legfelsőbb Bíróság </w:t>
      </w:r>
      <w:r>
        <w:rPr>
          <w:vertAlign w:val="baseline"/>
        </w:rPr>
        <w:t xml:space="preserve">Kf.III.37.795/2002/5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Kf.III.37.303/2004/8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Kfv.III.37.033/2007/5</w:t>
      </w:r>
      <w:r>
        <w:rPr>
          <w:vertAlign w:val="baseline"/>
        </w:rPr>
        <w:t xml:space="preserve">. számú határozataiban foglaltakat felhívva rámutatott arra, hogy bár a felperes javára bejegyzendő végrehajtási jog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138. § (3) bekezdése alapján soron kívüli elbírálást követel, az egyenrangú jogszabályi szabályozás révén a bírói gyakorlat a rangsor elvének ad elsőbbséget.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Kifejtette,</w:t>
      </w:r>
      <w:r>
        <w:rPr>
          <w:vertAlign w:val="baseline"/>
        </w:rPr>
        <w:t xml:space="preserve"> hogy a rendelkezésre álló iratok alapján kétséget kizáróan megállapítható, hogy az adásvételi szerződés és a tulajdonjog bejegyzési kérelem megelőzte a végrehajtási jog bejegyzése iránti kérelmet. Miután a kérelem a bejegyzésre nem volt alkalmas, alperes a hiánypótlási eljárás lefolytatásáig (a gyámhatóság hatáskörébe tartozó végleges döntés meghozataláig) a tulajdonjog bejegyzés iránti eljárást felfüggesztette.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Inytv.</w:t>
      </w:r>
      <w:r>
        <w:rPr>
          <w:vertAlign w:val="baseline"/>
        </w:rPr>
        <w:t xml:space="preserve"> 49. § (1) bekezdése értelmében az ingatlan-nyilvántartásba jog és tény csak azzal szemben jegyezhető be, aki jogosultként szerepel, vagy akit egyidejűleg jogosultként bejegyeznek. Az alperes a rangsor elvére,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54. § (4) bekezdésére és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120. § (1) bekezdésére figyelemmel helytállóan döntött a végrehajtási jog bejegyzésére vonatkozó döntés visszavonásáról, mivel arra csak a tulajdonjog bejegyzésére irányuló eljárást követően kerülhetett volna sor.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Megjegyezte,</w:t>
      </w:r>
      <w:r>
        <w:rPr>
          <w:vertAlign w:val="baseline"/>
        </w:rPr>
        <w:t xml:space="preserve"> hogy a felperes a követelése kielégítését meghiúsító, általa fedezetelvonó szerződésnek vélt adásvételi szerződés kapcsán igényét polgári peres úton érvényesítheti.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felülvizsgálati kérelem és ellenkérelem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 felülvizsgálati kérelmében elsődlegesen a 8. sorszámon kijavított és 9. sorszámon kiegészített ítélet hatályon kívül helyezését és a törvényszék új eljárás lefolytatására utasítását kérte azzal az előírással, hogy az új eljárás során a törvényszék az alperes határozatát semmisítse meg és kötelezze alperest az ingatlan-nyilvántartásba hatmillió forint főkövetelés és járulékaira vonatkozó végrehajtási jog </w:t>
      </w:r>
      <w:r>
        <w:rPr>
          <w:vertAlign w:val="baseline"/>
        </w:rPr>
        <w:t xml:space="preserve">III</w:t>
      </w:r>
      <w:r>
        <w:rPr>
          <w:vertAlign w:val="baseline"/>
        </w:rPr>
        <w:t xml:space="preserve">/9. rangsorban történő visszajegyzésére. Másodlagosan az ítélet megváltoztatását, a közigazgatási cselekmény megsemmisítését és az alperes új eljárás lefolytatására kötelezését kérte azzal, hogy az új eljárásban alperes a végrehajtási jogot jegyezze vissza. A felülvizsgálati kérelem befogadását a 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118. § (1) bekezdés a) pont aa) és ad) alpontjai alapján kérte.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Arra</w:t>
      </w:r>
      <w:r>
        <w:rPr>
          <w:vertAlign w:val="baseline"/>
        </w:rPr>
        <w:t xml:space="preserve"> hivatkozott, hogy a jogerős ítélet sérti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85. § </w:t>
      </w:r>
      <w:r>
        <w:rPr>
          <w:vertAlign w:val="baseline"/>
        </w:rPr>
        <w:t xml:space="preserve">(1)-(5)</w:t>
      </w:r>
      <w:r>
        <w:rPr>
          <w:vertAlign w:val="baseline"/>
        </w:rPr>
        <w:t xml:space="preserve"> bekezdésben, 86. §-ban, 84. § (2) bekezdés alapján alkalmazandó,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346. §-ban foglaltakat és az a Kúria </w:t>
      </w:r>
      <w:r>
        <w:rPr>
          <w:vertAlign w:val="baseline"/>
        </w:rPr>
        <w:t xml:space="preserve">EBH201</w:t>
      </w:r>
      <w:r>
        <w:rPr>
          <w:vertAlign w:val="baseline"/>
        </w:rPr>
        <w:t xml:space="preserve">5. K.33. szám alatt közzétett elvi határozatában foglaltakkal ellentétben áll. A törvényszék téves jogszabályi értelmezéssel hozta meg döntését, amely jogilag és ténybelileg egyaránt megalapozatlan.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Jogszabálysértésként</w:t>
      </w:r>
      <w:r>
        <w:rPr>
          <w:vertAlign w:val="baseline"/>
        </w:rPr>
        <w:t xml:space="preserve"> a keresettel egyezően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2. § (1) bekezdés, (2) bekezdés a) pont, 4. §, 6. § (3) bekezdés, 62. §, 85. §, 120. §,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7. § (1) bekezdés, 17. §, 44. § (1) bekezdés, 46-47. §, 47/A. § (1) bekezdés a) pont, 49. §, 54. § (4) bekezdés,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136. § (1) bekezdés, 138. § (3) bekezdés, az </w:t>
      </w:r>
      <w:r>
        <w:rPr>
          <w:vertAlign w:val="baseline"/>
        </w:rPr>
        <w:t xml:space="preserve">Alaptörvény XXIV.</w:t>
      </w:r>
      <w:r>
        <w:rPr>
          <w:vertAlign w:val="baseline"/>
        </w:rPr>
        <w:t xml:space="preserve"> cikk (1) bekezdés megsértésére is hivatkozott.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Kifejtette,</w:t>
      </w:r>
      <w:r>
        <w:rPr>
          <w:vertAlign w:val="baseline"/>
        </w:rPr>
        <w:t xml:space="preserve"> hogy a törvényszék a tényállást hiányosan állapította meg, mert a bizonyítási indítványát mellőzve nem szerezte be és nem tette a tényállás részévé kk. L. J. tulajdonjog bejegyzése iránti kérelem alapjául szolgáló </w:t>
      </w:r>
      <w:r>
        <w:rPr>
          <w:vertAlign w:val="baseline"/>
        </w:rPr>
        <w:t xml:space="preserve">388203/2021</w:t>
      </w:r>
      <w:r>
        <w:rPr>
          <w:vertAlign w:val="baseline"/>
        </w:rPr>
        <w:t xml:space="preserve">.2021.11.19. széljegyszám alatt feltüntetett okiratokat, valamint az eljárás felfüggesztéséről rendelkező </w:t>
      </w:r>
      <w:r>
        <w:rPr>
          <w:vertAlign w:val="baseline"/>
        </w:rPr>
        <w:t xml:space="preserve">330669/2022/2021</w:t>
      </w:r>
      <w:r>
        <w:rPr>
          <w:vertAlign w:val="baseline"/>
        </w:rPr>
        <w:t xml:space="preserve">.11.19. számú földhivatali határozatot. Ennek hiányában nem volt megállapítható, hogy az eljárásban ki, mikor, milyen tartalmú okiratot nyújtott be, a kérelmezőt alperes felhívta-e hiánypótlásra, ezért az ítélet az ügy érdemére kihatóan jogszabálysértő.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törvényszék a kereseti kérelmet sem merítette ki, mert az ítélet nem indokolta meg azon jogszabálysértést, amelyben arra hivatkozott, hogy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136. § (1) bekezdése alapján az ingatlan-nyilvántartásba bejegyzett tényektől függetlenül végrehajtás alá vonható az adós tulajdonában lévő ingatlan. Álláspontja szerint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17. § 13. pontja szerinti ingatlan-nyilvántartási eljárás felfüggesztésének ténye – figyelemmel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speciális rendelkezésére –nem lehet akadálya a végrehajtási jog bejegyzésének (lex specialis derogat legi generali).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Hangsúlyozta,</w:t>
      </w:r>
      <w:r>
        <w:rPr>
          <w:vertAlign w:val="baseline"/>
        </w:rPr>
        <w:t xml:space="preserve"> hogy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7. § (1) bekezdésének kk. L. J. kérelme nem felelt meg, mivel a kérelemhez nem mellékelték a bejegyzés alapjául szolgáló okiratot, nevezetesen a gyámhatóság jogerős jóváhagyó határozatát, melyet a törvényszék ítéletében szintén nem értékelt.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törvényszék nem foglalt állást arról sem, hogy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120. § (2) bekezdésben foglalt döntés visszavonásának nem volt helye, mivel az a jóhiszeműen szerzett és gyakorolt jogát sérti, a végrehajtási jog bejegyzésére vonatkozó határozat visszavonásával a perbeli ingatlan lefoglalása nem történt meg, ezért az L. A.-val szemben fennálló jogos követelése kielégítésére vonatkozó joga hiúsult meg.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a felülvizsgálati ellenkérelmében a jogerős ítélet hatályban tartását kérte, hangsúlyozva, hogy a törvényszék ítélete az eljárási és anyagi jogszabályban foglaltaknak maradéktalanul megfelel. A törvényszék a felperes keresetében felvetett valamennyi jogkérdésről állást foglalt és ítélete a bírósági gyakorlattal sem áll ellentétben.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Hangsúlyozta,</w:t>
      </w:r>
      <w:r>
        <w:rPr>
          <w:vertAlign w:val="baseline"/>
        </w:rPr>
        <w:t xml:space="preserve"> hogy eljárása során elsősorban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rendelkezéseit kellett alkalmaznia, amely nem állt ellentmondásban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felperes által felhívott rendelkezéseivel. A tulajdonjog bejegyzésére irányuló kérelem alapjául szolgáló adásvételi szerződés (okirat) alkalmas volt a széljegyzésre, a gyámhatóság jóváhagyása nélkül az okirat nem volt érvénytelen és a rangsorban figyelembe kellett vennie.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ügyben a felperes jóhiszeműen szerzett és gyakorolt joga fel sem merült, ezért a határozat visszavonásának ez nem képezte akadályát. Jóhiszeműen szerzett és gyakorolt jog csak az azt megállapító határozat alapján keletkezhet, ugyanakkor a végrehajtási jogot nem az ingatlan-nyilvántartási bejegyzés keletkezteti. A visszavonás korlátjának nem csak a jogszerzés, hanem a jog gyakorlása is a feltétele, azonban felperes a visszavont határozattal nem szerzett jogot, így nem merül fel a jogszerzés, és ebből következően a joggyakorlás kérdése sem.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határozata és jogi indokai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felülvizsgálati kérelme az alábbiak szerint részben alapos.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 § (2) bekezdése alapján alkalmazandó 108. § (1) bekezdése értelmében a felülvizsgálati kérelem és felülvizsgálati ellenkérelem keretei között, az abban megjelölt jogszabálysértések körében bírálta felül.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120. § (5) bekezdésére figyelemmel a felülvizsgálati eljárásban bizonyítás felvételének nincs helye, a felülvizsgálati kérelem elbírálása során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rendelkezésre álló iratok és bizonyítékok alapján dönt.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 felülvizsgálati kérelmében eljárási és anyagi jogszabálysértésre egyaránt hivatkozott. Eljárási jogszabálysértésként a tényállás részbeni feltáratlanságát, továbbá azt állította, hogy az ügyben eljárt törvényszék a kereseti kérelmében foglaltakat nem merítette ki, ugyanis a keresetben állított több jogszabálysértésre, ezek között a gyámhatósági jóváhagyás hiányában az adásvételi szerződés érvénytelenségére,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136. § (1) bekezdésére, amely szerint a felfüggesztés tényének feljegyzése a végrehajtási jog bejegyzésének nem akadálya és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120. § (2) bekezdésben foglalt jóhiszeműen szerzett és gyakorolt joga sérelmére az ítélete indokolásában egyáltalán nem tért ki.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mindenekelőtt azt vizsgálta, hogy a felperes által állított eljárási szabálysértések megvalósultak-e és a jogszabálysértés olyan súlyos-e, amely az ügy érdemi elbírálására is kihatott.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 felperes tényállás tisztázásának hiányára vonatkozó hivatkozása megalapozatlan, ugyanis a törvényszék az ügy érdemi eldöntése szempontjából releváns tényállást a szükséges mértékben feltárta, e körben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78. § (2) bekezdése szerinti, a bizonyítékok egyenként és összességükben, a megelőző eljárásban megállapított tényállással összevetve való értékelését elvégezte. A felperes állításával szemben a perben további iratok beszerzésére sem volt szükség. Nem volt vitatott ugyanis a felperes által feltárni kívánt azon tény, hogy a kiskorú tulajdonszerző nyilatkozatának gyámhatóság jóváhagyására vonatkozó jogerős határozat csak 2022. évben, azaz a végrehajtási jog bejegyzése iránti kérelem előterjesztését követő időpontban került csatolásra és a felperes más olyan tényt, körülményt sem jelölt meg, amelynek feltárása az érdemi határozat meghozatalához elengedhetetlen.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felperesnek a kereseti kérelem kimerítésének hiányára vonatkozó felülvizsgálati érvelésével összefüggésben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mindenekelőtt utal arra, hogy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86. § (1) bekezdése értelmében az ítéletben a perben érvényesített valamennyi kereseti kérelemről döntést kell hozni. Ezen követelményt támasztja alá a kúriai gyakorlat is, mely szerint a bíróságnak a felperes által felvetett valamennyi jogszabálysértéssel kapcsolatos kereseti érvelést meg kell vizsgálnia és a vizsgálatáról számot kell adnia (</w:t>
      </w:r>
      <w:r>
        <w:rPr>
          <w:vertAlign w:val="baseline"/>
        </w:rPr>
        <w:t xml:space="preserve">EBH201</w:t>
      </w:r>
      <w:r>
        <w:rPr>
          <w:vertAlign w:val="baseline"/>
        </w:rPr>
        <w:t xml:space="preserve">8. K.13, </w:t>
      </w:r>
      <w:r>
        <w:rPr>
          <w:vertAlign w:val="baseline"/>
        </w:rPr>
        <w:t xml:space="preserve">KGD201</w:t>
      </w:r>
      <w:r>
        <w:rPr>
          <w:vertAlign w:val="baseline"/>
        </w:rPr>
        <w:t xml:space="preserve">4. 157., </w:t>
      </w:r>
      <w:r>
        <w:rPr>
          <w:vertAlign w:val="baseline"/>
        </w:rPr>
        <w:t xml:space="preserve">Kfv.I.35.452/2019/8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Kfv.II.37.695/2020/5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Kf.VI.39.085/2021/5</w:t>
      </w:r>
      <w:r>
        <w:rPr>
          <w:vertAlign w:val="baseline"/>
        </w:rPr>
        <w:t xml:space="preserve">.).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kereseti kérelem kimerítésével összefüggésben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utal arra, hogy a felperes a keresetében az alperes visszavonó határozata jogszabálysértő voltát négy okból állította. Hivatkozott arra, hogy gyámhatósági jóváhagyás hiányában nem állt rendelkezésre érvényes okirat, illetőleg beadvány, amely alapján a tulajdonjog bejegyzés iránti eljárás széljegyként feltüntetésre kerülhetett volna, ezért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7. § szerinti rangsor elvére és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44. §-ában szabályozott iktatószámok sorrendje szerinti ügyintézésre az alperes alaptalanul hivatkozott. Arra is utalt, hogy a tulajdonjog bejegyzése iránti eljárás széljegyként történő feltüntetését követően az alperes az ingatlan-nyilvántartási eljárás felfüggesztésének tényét tüntette fel az ingatlan-nyilvántartásban, amely tény azonban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136. § (1) bekezdése értelmében nem volt akadálya a végrehajtási jog bejegyzésének. Hivatkozott még a </w:t>
      </w:r>
      <w:r>
        <w:rPr>
          <w:vertAlign w:val="baseline"/>
        </w:rPr>
        <w:t xml:space="preserve">Vhr.</w:t>
      </w:r>
      <w:r>
        <w:rPr>
          <w:vertAlign w:val="baseline"/>
        </w:rPr>
        <w:t xml:space="preserve"> 138. § (3) bekezdésében foglalt soron kívüli eljárásra, továbbá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120. § (2) bekezdésében foglalt jóhiszeműen szerzett és gyakorolt jogának sérelmére is.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az ügyben eljárt törvényszék az idézett jogszabályi rendelkezések és az általa felhívott kúriai gyakorlat alapján helyesen helyezkedett arra az álláspontra, hogy a rangsor elvét a hiánypótlási eljárás befejezését követően is érvényesíteni kell, illetőleg a beadványokat akkor is a rangsor elve szerint kell elintézni, ha az utóbb érkezett beadvány soron kívüli ügyintézést igényel (</w:t>
      </w:r>
      <w:r>
        <w:rPr>
          <w:vertAlign w:val="baseline"/>
        </w:rPr>
        <w:t xml:space="preserve">Kfv.III.37.303/2004/8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Kfv.37.033/2007/5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Kfv.II.37.461/2013/7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Kfv.II.37.039/2014/9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Kfv.III.37.795/2002/5</w:t>
      </w:r>
      <w:r>
        <w:rPr>
          <w:vertAlign w:val="baseline"/>
        </w:rPr>
        <w:t xml:space="preserve">.).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törvényszék helyesen idézte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47. § (3b) bekezdést is, amely kifejezetten rendelkezik a gyámhatóság hatáskörébe tartozó döntés meghozataláig az ingatlan-nyilvántartási eljárás felfüggesztéséről, ugyanakkor ítélete indokolásában nem tért ki arra, hogy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17. § 13. pontja és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végrehajtásáról szóló </w:t>
      </w:r>
      <w:r>
        <w:rPr>
          <w:vertAlign w:val="baseline"/>
        </w:rPr>
        <w:t xml:space="preserve">109/1999</w:t>
      </w:r>
      <w:r>
        <w:rPr>
          <w:vertAlign w:val="baseline"/>
        </w:rPr>
        <w:t xml:space="preserve">. (XII.29.) </w:t>
      </w:r>
      <w:r>
        <w:rPr>
          <w:vertAlign w:val="baseline"/>
        </w:rPr>
        <w:t xml:space="preserve">FVM</w:t>
      </w:r>
      <w:r>
        <w:rPr>
          <w:vertAlign w:val="baseline"/>
        </w:rPr>
        <w:t xml:space="preserve"> rendelet (a továbbiakban: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vhr.) 4. § (2) bekezdés 20. pontja szerinti felfüggesztés ténye széljegyként történő feltüntetésére tekintettel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136. § (1) bekezdése a felperes érvelésével szemben miért nem volt alkalmazható. Nem adott számot a felperes azon kereseti érveléséről, hogy a benyújtott adásvételi szerződés álláspontja szerint mely okból volt alkalmas a tulajdonjog bejegyzés iránti eljárás széljegyként történő feltüntetésére. Nem foglalt állást arról, hogy az adásvételi szerződés gyámhatósági jóváhagyás hiányában érvénytelennek tekinthető-e. A törvényszék ítélete indokolásában nem tért ki arra sem, hogy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120. § (2) bekezdésében foglalt jóhiszeműen szerzett és gyakorolt jog sérelme a felperes állításával egyezően megvalósult-e.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fenti kereseti érvelések törvényszék általi értékelésének hiánya olyan lényeges eljárási szabálysértés, amely a felülvizsgálati eljárásban nem pótolható. Minderre figyelemmel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 törvényszék ítélete az ügy érdemére kiható módon jogszabálysértő, ezért azt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121. § (1) bekezdés a) pontja alapján hatályon kívül helyezte, és a közigazgatási bíróságot új eljárás lefolytatására és új határozat hozatalára utasította.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törvényszéknek az eljárása során a felperes valamennyi kereseti kérelmi hivatkozásáról döntenie kell, e körben pedig ki kell térnie az adásvételi szerződés érvénytelenségével,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136. § (1) bekezdésével és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120. § (2) bekezdés szerinti jóhiszeműen szerzett és gyakorolt joggal összefüggő felperesi kereseti érvelésekre.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határozat elvi tartalma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 </w:t>
      </w:r>
      <w:r>
        <w:rPr>
          <w:i/>
          <w:vertAlign w:val="baseline"/>
        </w:rPr>
        <w:t xml:space="preserve">Az ingatlan-nyilvántartási eljárásban érvényesülő rangsor elve alapján a bejegyzés alapjául szolgáló beadványok elintézésének sorrendjét a bejegyzés alapjául szolgáló beadványok érkezésének időpontja határozza meg, azt a végrehajtási törvényben szabályozott ingatlan-nyilvántartási bejegyzéssel összefüggő soron kívüli eljárásokban is figyelembe kell venni.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 </w:t>
      </w:r>
      <w:r>
        <w:rPr>
          <w:i/>
          <w:vertAlign w:val="baseline"/>
        </w:rPr>
        <w:t xml:space="preserve">Amennyiben</w:t>
      </w:r>
      <w:r>
        <w:rPr>
          <w:i/>
          <w:vertAlign w:val="baseline"/>
        </w:rPr>
        <w:t xml:space="preserve"> a közigazgatási perben meghozott határozat indokolása a kereseti kérelemben megjelölt valamennyi jogszabálysértésre nem terjed ki, e körben az ítélet az ügy érdemére kihatóan jogszabálysértő és érdemi felülvizsgálatra alkalmatlan.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 § (2) bekezdése alapján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117. § (1) bekezdése szerinti nyilatkozat hiányában tárgyaláson kívül bírálta el.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peres felek felülvizsgálati eljárásban felmerült költségét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 § (2) bekezdése folytán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110. § (3) bekezdése alapján állapította meg.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Budapest, 2023. január 25.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Dr. Kovács András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Szilas Judit</w:t>
      </w:r>
      <w:r>
        <w:rPr>
          <w:vertAlign w:val="baseline"/>
        </w:rPr>
        <w:t xml:space="preserve"> s.k. előadó bíró,</w:t>
      </w:r>
      <w:r>
        <w:rPr>
          <w:vertAlign w:val="baseline"/>
        </w:rPr>
        <w:t xml:space="preserve">                       </w:t>
      </w:r>
      <w:r>
        <w:br/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Bögös Fruzsina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Dr. Figula Ildikó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Dr. Tóth Kincső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tisztviselő</w:t>
      </w:r>
    </w:p>
    <w:p>
      <w:pPr>
        <w:jc w:val="left"/>
      </w:pPr>
      <w:r>
        <w:rPr>
          <w:vertAlign w:val="baseline"/>
        </w:rPr>
        <w:t xml:space="preserve">     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II.Kfv.37.630/2022/5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