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ectPr w:rsidRPr="00666525" w:rsidR="001E0961" w:rsidSect="00FA2D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A </w:t>
      </w:r>
      <w:r>
        <w:rPr>
          <w:b/>
          <w:vertAlign w:val="baseline"/>
        </w:rPr>
        <w:t xml:space="preserve">Kúria</w:t>
      </w:r>
      <w:r>
        <w:rPr>
          <w:b/>
          <w:vertAlign w:val="baseline"/>
        </w:rPr>
        <w:t xml:space="preserve"> </w:t>
      </w:r>
      <w:r>
        <w:br/>
      </w:r>
      <w:r>
        <w:rPr>
          <w:b/>
          <w:vertAlign w:val="baseline"/>
        </w:rPr>
        <w:t xml:space="preserve"> mint felülvizsgálati bíróság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center"/>
      </w:pPr>
      <w:r>
        <w:rPr>
          <w:b/>
          <w:vertAlign w:val="baseline"/>
        </w:rPr>
        <w:t xml:space="preserve">végzése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Az ügy száma: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Gfv.VI.30.041/2022/5</w:t>
      </w:r>
      <w:r>
        <w:rPr>
          <w:vertAlign w:val="baseline"/>
        </w:rPr>
        <w:t xml:space="preserve">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tanács tagjai:</w:t>
      </w:r>
      <w:r>
        <w:rPr>
          <w:b/>
          <w:vertAlign w:val="baseline"/>
        </w:rPr>
        <w:t xml:space="preserve">  </w:t>
      </w: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a tanács elnöke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Cseh Attila</w:t>
      </w:r>
      <w:r>
        <w:rPr>
          <w:vertAlign w:val="baseline"/>
        </w:rPr>
        <w:t xml:space="preserve"> előadó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                           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bíró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felperes: </w:t>
      </w:r>
      <w:r>
        <w:rPr>
          <w:vertAlign w:val="baseline"/>
        </w:rPr>
        <w:t xml:space="preserve">...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felperes képviselője: </w:t>
      </w:r>
      <w:r>
        <w:rPr>
          <w:vertAlign w:val="baseline"/>
        </w:rPr>
        <w:t xml:space="preserve">Dr. Farkas László István</w:t>
      </w:r>
      <w:r>
        <w:rPr>
          <w:vertAlign w:val="baseline"/>
        </w:rPr>
        <w:t xml:space="preserve"> ügyvéd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alperes: ...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alperes képviselője: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Irsevics Krisztián Ügyvédi Iroda</w:t>
      </w:r>
      <w:r>
        <w:rPr>
          <w:vertAlign w:val="baseline"/>
        </w:rPr>
        <w:t xml:space="preserve"> (eljáró ügyvéd: </w:t>
      </w:r>
      <w:r>
        <w:rPr>
          <w:vertAlign w:val="baseline"/>
        </w:rPr>
        <w:t xml:space="preserve">dr. Irsevics Krisztián</w:t>
      </w:r>
      <w:r>
        <w:rPr>
          <w:vertAlign w:val="baseline"/>
        </w:rPr>
        <w:t xml:space="preserve"> ügyvéd)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per tárgya: </w:t>
      </w:r>
      <w:r>
        <w:rPr>
          <w:vertAlign w:val="baseline"/>
        </w:rPr>
        <w:t xml:space="preserve">szerződés érvénytelensége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felülvizsgálati kérelmet benyújtó fél: </w:t>
      </w:r>
      <w:r>
        <w:rPr>
          <w:vertAlign w:val="baseline"/>
        </w:rPr>
        <w:t xml:space="preserve">felperes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 másodfokú bíróság neve és a jogerős határozat száma: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Szekszárdi </w:t>
      </w:r>
      <w:r>
        <w:rPr>
          <w:vertAlign w:val="baseline"/>
        </w:rPr>
        <w:t xml:space="preserve">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17.Pf.20.194/2021/9</w:t>
      </w:r>
      <w:r>
        <w:rPr>
          <w:vertAlign w:val="baseline"/>
        </w:rPr>
        <w:t xml:space="preserve">. számú ítélete</w:t>
      </w:r>
      <w:r>
        <w:rPr>
          <w:vertAlign w:val="baseline"/>
        </w:rPr>
        <w:t xml:space="preserve">          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b/>
          <w:vertAlign w:val="baseline"/>
        </w:rPr>
        <w:t xml:space="preserve">Az elsőfokú bíróság neve és a határozat száma: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Szekszárdi </w:t>
      </w:r>
      <w:r>
        <w:rPr>
          <w:vertAlign w:val="baseline"/>
        </w:rPr>
        <w:t xml:space="preserve">Járásbíróság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10.P.20.233/2020/21</w:t>
      </w:r>
      <w:r>
        <w:rPr>
          <w:vertAlign w:val="baseline"/>
        </w:rPr>
        <w:t xml:space="preserve">. számú ítélete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b/>
          <w:vertAlign w:val="baseline"/>
        </w:rPr>
        <w:t xml:space="preserve">Rendelkező rész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megtagadja.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Megállapítja, hogy a felperes által le nem rótt 10.000 (tízezer) forint felülvizsgálat engedélyezése iránti eljárási illetéket az állam viseli.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A végzés ellen felülvizsgálatnak nincs helye.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center"/>
      </w:pPr>
      <w:r>
        <w:rPr>
          <w:b/>
          <w:vertAlign w:val="baseline"/>
        </w:rPr>
        <w:t xml:space="preserve">Indokolás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[1]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módosított keresetében annak megállapítását kérte, hogy az alperes jogelődje és közte 2007. szeptember 10. napján a H</w:t>
      </w:r>
      <w:r>
        <w:rPr>
          <w:vertAlign w:val="baseline"/>
        </w:rPr>
        <w:t xml:space="preserve">.......</w:t>
      </w:r>
      <w:r>
        <w:rPr>
          <w:vertAlign w:val="baseline"/>
        </w:rPr>
        <w:t xml:space="preserve"> és F...... K.....-nél </w:t>
      </w:r>
      <w:r>
        <w:rPr>
          <w:vertAlign w:val="baseline"/>
        </w:rPr>
        <w:t xml:space="preserve">AA/0100/10096</w:t>
      </w:r>
      <w:r>
        <w:rPr>
          <w:vertAlign w:val="baseline"/>
        </w:rPr>
        <w:t xml:space="preserve"> számon, gépjárművásárlás céljából </w:t>
      </w:r>
      <w:r>
        <w:rPr>
          <w:vertAlign w:val="baseline"/>
        </w:rPr>
        <w:t xml:space="preserve">3.266.820</w:t>
      </w:r>
      <w:r>
        <w:rPr>
          <w:vertAlign w:val="baseline"/>
        </w:rPr>
        <w:t xml:space="preserve"> forint és járulékai vonatkozásában létrejött kölcsönszerződés és opciós szerződés, valamint annak felmondása tisztességtelen szerződési feltételek miatt a szerződéskötés időpontjára visszamenő hatállyal érvénytelen. Kérte a </w:t>
      </w:r>
      <w:r>
        <w:rPr>
          <w:vertAlign w:val="baseline"/>
        </w:rPr>
        <w:t xml:space="preserve">szerződés érvényessé nyilvánítását a tisztességtelen szerződési kikötések kiküszöbölésével, valamint az általa 2020 májusáig megfizetett és a végrehajtási eljárásban behajtott, összesen </w:t>
      </w:r>
      <w:r>
        <w:rPr>
          <w:vertAlign w:val="baseline"/>
        </w:rPr>
        <w:t xml:space="preserve">4.270.173</w:t>
      </w:r>
      <w:r>
        <w:rPr>
          <w:vertAlign w:val="baseline"/>
        </w:rPr>
        <w:t xml:space="preserve"> forint figyelembevételével az alperes </w:t>
      </w:r>
      <w:r>
        <w:rPr>
          <w:vertAlign w:val="baseline"/>
        </w:rPr>
        <w:t xml:space="preserve">433.192</w:t>
      </w:r>
      <w:r>
        <w:rPr>
          <w:vertAlign w:val="baseline"/>
        </w:rPr>
        <w:t xml:space="preserve"> forint és kamata megfizetésére kötelezését, az elszámolása szerint túlfizetett összegként.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Az elsőfokú bíróság a keresetet elutasította. A szerződésben rögzített kockázatfeltáró nyilatkozat elemzése mellett akként foglalt állást, hogy az alperesi jogelőd által adott tájékoztatás kiterjedt arra, hogy az árfolyamváltozás kockázata milyen módon befolyásolja a felperes fizetési kötelezettségét az árfolyam felperes számára kedvezőtlen változása esetén, rámutatva, hogy a tájékoztatás alapján a felperes nem gondolhatta alappal, hogy az árfolyamkockázat nem valós és az őt csak korlátozott mértékben terheli. A szerződéses rendelkezés tisztességtelensége okán a szerződés érvénytelenségét nem látta megállapíthatónak.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[3]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felperes fellebbezése folytán eljárt másodfokú bíróság az elsőfokú bíróság ítéletét – annak helyes indokaira utalással – a polgári perrendtartásról szóló 2016. évi </w:t>
      </w:r>
      <w:r>
        <w:rPr>
          <w:vertAlign w:val="baseline"/>
        </w:rPr>
        <w:t xml:space="preserve">CXXX.</w:t>
      </w:r>
      <w:r>
        <w:rPr>
          <w:vertAlign w:val="baseline"/>
        </w:rPr>
        <w:t xml:space="preserve"> törvény (a továbbiakban: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) 383. § (2) bekezdése alapján helybenhagyta. Indokolása szerint az elsőfokú bíróság megalapozottan jutott a kölcsönszerződés vonatkozó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3. pontjának rendelkezése vizsgálatával arra a következtetésre, hogy az árfolyamkockázattal kapcsolatos, a hitelintézetekről és a pénzügyi vállalkozásokról szóló 1996. évi </w:t>
      </w:r>
      <w:r>
        <w:rPr>
          <w:vertAlign w:val="baseline"/>
        </w:rPr>
        <w:t xml:space="preserve">CXII.</w:t>
      </w:r>
      <w:r>
        <w:rPr>
          <w:vertAlign w:val="baseline"/>
        </w:rPr>
        <w:t xml:space="preserve"> törvény (a továbbiakban: rHpt.) 203. § </w:t>
      </w:r>
      <w:r>
        <w:rPr>
          <w:vertAlign w:val="baseline"/>
        </w:rPr>
        <w:t xml:space="preserve">(6)-(7)</w:t>
      </w:r>
      <w:r>
        <w:rPr>
          <w:vertAlign w:val="baseline"/>
        </w:rPr>
        <w:t xml:space="preserve"> bekezdése szerinti tájékoztatási kötelezettséget az alperesi jogelőd megfelelően teljesítette. A kockázatfeltáró tájékoztatás alapján nem volt, nem lehetett kétséges egy általánosan tájékozott, körültekintő fogyasztó számára, hogy az árfolyamváltozás a 120 hónapos futamidő alatt bármely időpontban, esetben bekövetkezhet, és annak nincsen felső plafonja, azt teljes egészében a fogyasztó köteles viselni. A perben nem merült fel olyan adat, amelyből arra lehetne következtetni, hogy az árfolyamkockázat nem valós, annak nincs reális valószínűsége, vagy az bizonyos mértékben korlátozott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[4]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 </w:t>
      </w:r>
      <w:r>
        <w:rPr>
          <w:vertAlign w:val="baseline"/>
        </w:rPr>
        <w:t xml:space="preserve">A jogerős ítélet ellen a felperes terjesztett elő felülvizsgálati kérelmet és egyúttal felülvizsgálat engedélyezése iránti kérelmet.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[5]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felülvizsgálat engedélyezése iránti kérelmében a joggyakorlat egységének biztosítása érdekében, valamint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eltérés miatt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(2) bekezdés a) és d) pontja [utóbbi helyesen: (3) bekezdése] kérte a felülvizsgálat engedélyezését. Felülvizsgálni kért jogszabálysértésként a </w:t>
      </w:r>
      <w:r>
        <w:rPr>
          <w:vertAlign w:val="baseline"/>
        </w:rPr>
        <w:t xml:space="preserve">Polgári Törvénykönyvről</w:t>
      </w:r>
      <w:r>
        <w:rPr>
          <w:vertAlign w:val="baseline"/>
        </w:rPr>
        <w:t xml:space="preserve"> szóló 1959. évi </w:t>
      </w:r>
      <w:r>
        <w:rPr>
          <w:vertAlign w:val="baseline"/>
        </w:rPr>
        <w:t xml:space="preserve">IV.</w:t>
      </w:r>
      <w:r>
        <w:rPr>
          <w:vertAlign w:val="baseline"/>
        </w:rPr>
        <w:t xml:space="preserve"> törvény (a továbbiakban: rPtk.) 209. § (1) és (4) bekezdését jelölte meg.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[6]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joggyakorlat egysége biztosításával kapcsolatban arra hivatkozott, hogy szerinte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több jogegységi határozata, eseti döntése ellenére a kockázatfeltárás megítélése tekintetében teljesen eltérő a gyakorlat, a bankoktól és bíróságoktól függően. Ezzel kapcsolatban hivatkozott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73.Pf.639.492/2018/14</w:t>
      </w:r>
      <w:r>
        <w:rPr>
          <w:vertAlign w:val="baseline"/>
        </w:rPr>
        <w:t xml:space="preserve">. számú ítéletére, valamint arra, hogy a jogerős ítélet nincs összhangban az </w:t>
      </w:r>
      <w:r>
        <w:rPr>
          <w:vertAlign w:val="baseline"/>
        </w:rPr>
        <w:t xml:space="preserve">Európai Unió Bírósága</w:t>
      </w:r>
      <w:r>
        <w:rPr>
          <w:vertAlign w:val="baseline"/>
        </w:rPr>
        <w:t xml:space="preserve"> (a továbbiakban: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) </w:t>
      </w:r>
      <w:r>
        <w:rPr>
          <w:vertAlign w:val="baseline"/>
        </w:rPr>
        <w:t xml:space="preserve">C-186/16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C-51/17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C-227/18</w:t>
      </w:r>
      <w:r>
        <w:rPr>
          <w:vertAlign w:val="baseline"/>
        </w:rPr>
        <w:t xml:space="preserve">. és </w:t>
      </w:r>
      <w:r>
        <w:rPr>
          <w:vertAlign w:val="baseline"/>
        </w:rPr>
        <w:t xml:space="preserve">C-212/2020</w:t>
      </w:r>
      <w:r>
        <w:rPr>
          <w:vertAlign w:val="baseline"/>
        </w:rPr>
        <w:t xml:space="preserve">. számú döntéseivel, illetve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1/2016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PJE</w:t>
      </w:r>
      <w:r>
        <w:rPr>
          <w:vertAlign w:val="baseline"/>
        </w:rPr>
        <w:t xml:space="preserve"> határozatával.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[7]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körében előadta, hogy a jogerős ítélet ellentétes a </w:t>
      </w:r>
      <w:r>
        <w:rPr>
          <w:vertAlign w:val="baseline"/>
        </w:rPr>
        <w:t xml:space="preserve">Kúria Gfv.VII.</w:t>
      </w:r>
      <w:r>
        <w:rPr>
          <w:vertAlign w:val="baseline"/>
        </w:rPr>
        <w:t xml:space="preserve">30.181/2019/4., </w:t>
      </w:r>
      <w:r>
        <w:rPr>
          <w:vertAlign w:val="baseline"/>
        </w:rPr>
        <w:t xml:space="preserve">Gfv.VII.30.418/2019/5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Gfv.VII.30.274/2019/6</w:t>
      </w:r>
      <w:r>
        <w:rPr>
          <w:vertAlign w:val="baseline"/>
        </w:rPr>
        <w:t xml:space="preserve">. és a </w:t>
      </w:r>
      <w:r>
        <w:rPr>
          <w:vertAlign w:val="baseline"/>
        </w:rPr>
        <w:t xml:space="preserve">Pfv.I.20.955/2020</w:t>
      </w:r>
      <w:r>
        <w:rPr>
          <w:vertAlign w:val="baseline"/>
        </w:rPr>
        <w:t xml:space="preserve">. számon közzétett döntéseivel. Ezek közül idézte a </w:t>
      </w:r>
      <w:r>
        <w:rPr>
          <w:vertAlign w:val="baseline"/>
        </w:rPr>
        <w:t xml:space="preserve">Gfv.VII.30.181/2019/4</w:t>
      </w:r>
      <w:r>
        <w:rPr>
          <w:vertAlign w:val="baseline"/>
        </w:rPr>
        <w:t xml:space="preserve">. számú döntés [28] pontját, valamint a </w:t>
      </w:r>
      <w:r>
        <w:rPr>
          <w:vertAlign w:val="baseline"/>
        </w:rPr>
        <w:t xml:space="preserve">Pfv.I.20.955/2020</w:t>
      </w:r>
      <w:r>
        <w:rPr>
          <w:vertAlign w:val="baseline"/>
        </w:rPr>
        <w:t xml:space="preserve">. számú határozat lényegét, miszerint az ügyben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 árfolyamkockázatról való nem megfelelő tájékoztatás miatt mondta ki a szerződés érvénytelenségét.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[8]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elöljáróban rögzíti: az elsőfokú bíróság határozatát a másodfokú bíróság azonos jogszabályi rendelkezésekre és azonos jogi indokolásra utalással hagyta helyben, továbbá a felülvizsgálati kérelemben vitatott érték az ötmillió forintot nem haladja meg, ezért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408. § (1) - (2) bekezdése és 409. § (1) bekezdése alapján a felülvizsgálati kérelem elbírálása érdekében a felperesnek felülvizsgálat engedélyezése iránt kérelmet kellett előterjesztenie, amely kötelezettségének eleget tett.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[9]</w:t>
      </w:r>
      <w:r>
        <w:rPr>
          <w:vertAlign w:val="baseline"/>
        </w:rPr>
        <w:t xml:space="preserve">    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felperes engedélyezés iránti kérelmét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(1) bekezdése alapján vizsgálta.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kérelemhez kötöttség perjogi szabályából következően [Pp. 2. § (2) bekezdés] – miként azt a felülvizsgálat engedélyezésével összefüggésben az </w:t>
      </w:r>
      <w:r>
        <w:rPr>
          <w:vertAlign w:val="baseline"/>
        </w:rPr>
        <w:t xml:space="preserve">1/2021</w:t>
      </w:r>
      <w:r>
        <w:rPr>
          <w:vertAlign w:val="baseline"/>
        </w:rPr>
        <w:t xml:space="preserve">. (VII. 12.)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(a továbbiakban: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vélemény) 6. pontjában értelmezte –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kizárólag a fél által megjelölt okból engedélyezheti. Erre figyelemmel a felperes által előterjesztett felülvizsgálat engedélyezése iránti kérelmet abból a szempontból vizsgálta, hogy </w:t>
      </w:r>
      <w:r>
        <w:rPr>
          <w:vertAlign w:val="baseline"/>
        </w:rPr>
        <w:t xml:space="preserve">a jogerős ítélet jogkérdésben eltért-e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felperes által megjelölt, közzétett határozataitól</w:t>
      </w:r>
      <w:r>
        <w:rPr>
          <w:vertAlign w:val="baseline"/>
        </w:rPr>
        <w:t xml:space="preserve">, illetve, hogy az előadottakra figyelemmel a jogszabálysértés vizsgálata szükséges-e a joggyakorlat egységének biztosítása érdekében. A két esetkör közül először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bekezdését érintő hivatkozást kellett vizsgálni, tekintettel arra, hogy az erre alapított engedélyezési kérelem alapos volta esetén az engedélyezés nem mérlegelhető.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szerint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akkor engedélyezi, ha a felülvizsgálati kérelemmel támadott ítélet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eltér.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 körben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mindenekelőtt az engedélyezési kérelemmel szembeni tartalmi követelményekre mutat rá.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410. § (2) bekezdésének </w:t>
      </w:r>
      <w:r>
        <w:rPr>
          <w:vertAlign w:val="baseline"/>
        </w:rPr>
        <w:t xml:space="preserve">a 2019. évi </w:t>
      </w:r>
      <w:r>
        <w:rPr>
          <w:vertAlign w:val="baseline"/>
        </w:rPr>
        <w:t xml:space="preserve">CXXVIII</w:t>
      </w:r>
      <w:r>
        <w:rPr>
          <w:vertAlign w:val="baseline"/>
        </w:rPr>
        <w:t xml:space="preserve">. törvény (ún. Pp. Novella) 189. §-ával 2020. április 1. napjától módosított </w:t>
      </w:r>
      <w:r>
        <w:rPr>
          <w:vertAlign w:val="baseline"/>
        </w:rPr>
        <w:t xml:space="preserve">cd) alpontja értelmében –</w:t>
      </w:r>
      <w:r>
        <w:rPr>
          <w:vertAlign w:val="baseline"/>
        </w:rPr>
        <w:t xml:space="preserve"> a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határozatától jogkérdésben való eltérésre hivatkozás esetén – a felülvizsgálat engedélyezése iránti kérelemben (az egyéb kötelező tartalmi kellékek mellett) meg kell jelölni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határozatát és annak azt a részét, amelytől a felülvizsgálattal támadott ítéleti rendelkezés jogkérdésben eltér.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 rendelkezés egyértelmű normatartartalmából következően tehát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bekezdésére alapított kérelem esetén nem elég a felülvizsgálat engedélyezése iránti kérelemben önmagában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közzétett határozatának (ügyszámmal való) megadása, hanem – a konjunktív követelmények tartalmi kapcsolatára (lásd: „és”) tekintettel – e mellett annak konkrétan azt a részét is egyértelműen, beazonosítható módon meg kell jelölni, amelytől a kérelmező álláspontja szerint a felülvizsgálattal támadott ítéleti rendelkezés jogkérdésben eltér.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[15]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Ehhez</w:t>
      </w:r>
      <w:r>
        <w:rPr>
          <w:vertAlign w:val="baseline"/>
        </w:rPr>
        <w:t xml:space="preserve"> képest a felperes engedélyezés iránti kérelmében a </w:t>
      </w:r>
      <w:r>
        <w:rPr>
          <w:vertAlign w:val="baseline"/>
        </w:rPr>
        <w:t xml:space="preserve">Gfv.VII.30.418/2019/5</w:t>
      </w:r>
      <w:r>
        <w:rPr>
          <w:vertAlign w:val="baseline"/>
        </w:rPr>
        <w:t xml:space="preserve">. és a </w:t>
      </w:r>
      <w:r>
        <w:rPr>
          <w:vertAlign w:val="baseline"/>
        </w:rPr>
        <w:t xml:space="preserve">Gfv.VII.30.274/2019/6</w:t>
      </w:r>
      <w:r>
        <w:rPr>
          <w:vertAlign w:val="baseline"/>
        </w:rPr>
        <w:t xml:space="preserve">. számú határozat kapcsán még az utalás szintjén sem jelölte meg a határozatok valamely részét, tartalmi egységét, ami önmagában kizárja e határozatok figyelembevételét az engedélyezés iránti kérelem vizsgálata során.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Erre tekintettel csupán megjegyzi a </w:t>
      </w:r>
      <w:r>
        <w:rPr>
          <w:vertAlign w:val="baseline"/>
        </w:rPr>
        <w:t xml:space="preserve">Kúria,</w:t>
      </w:r>
      <w:r>
        <w:rPr>
          <w:vertAlign w:val="baseline"/>
        </w:rPr>
        <w:t xml:space="preserve"> hogy a </w:t>
      </w:r>
      <w:r>
        <w:rPr>
          <w:vertAlign w:val="baseline"/>
        </w:rPr>
        <w:t xml:space="preserve">Gfv.VII.30.418/2019/5</w:t>
      </w:r>
      <w:r>
        <w:rPr>
          <w:vertAlign w:val="baseline"/>
        </w:rPr>
        <w:t xml:space="preserve">. számú határozat kapcsán fel sem merülhetett a jogerős ítélet jogkérdésben való eltérése, tekintettel arra, hogy e határozatában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felülvizsgálati kérelem hivatalbóli elutasításáról rendelkezett.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[16]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Gfv.VII.30.181/2019/4</w:t>
      </w:r>
      <w:r>
        <w:rPr>
          <w:vertAlign w:val="baseline"/>
        </w:rPr>
        <w:t xml:space="preserve">. számú határozatra történt hivatkozás amiatt nem foghatott helyt, mert abban az ügyben</w:t>
      </w:r>
      <w:r>
        <w:rPr>
          <w:vertAlign w:val="baseline"/>
        </w:rPr>
        <w:t xml:space="preserve"> a szerződés tartalma, valamint az alkalmazott általános szerződési feltételek a jelen perben vizsgálttól eltérő tartalmúak voltak;</w:t>
      </w:r>
      <w:r>
        <w:rPr>
          <w:vertAlign w:val="baseline"/>
        </w:rPr>
        <w:t xml:space="preserve">  </w:t>
      </w:r>
      <w:r>
        <w:rPr>
          <w:vertAlign w:val="baseline"/>
        </w:rPr>
        <w:t xml:space="preserve">és emellett a pénzügyi intézményt terhelő tájékoztatási kötelezettség teljesítése azért nem volt elfogadható, mert a fogyasztó több, külön okiratban szereplő szerződési feltétel együttes értelmezése, több rendelkezés egybevetése alapján legfeljebb csak kikövetkeztetni tudta az árfolyamkockázat mibenlétét, fizetési kötelezettségére gyakorolt hatását, azaz a szerződési feltételek összetett, nem áttekinthető szerkezeti kialakítása miatt az árfolyamkockázattal kapcsolatos összefüggéseket – az eltérő helyen lévő kikötések felkutatásával és értelmezésével – magának a fogyasztónak kellett megkísérelnie azonosítani és felismerni, amire tekintettel az általános szerződési feltételek érintett kikötései nem voltak áttekinthetők, világosak és egyértelműek.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[17]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Pfv.I.20.955/2020</w:t>
      </w:r>
      <w:r>
        <w:rPr>
          <w:vertAlign w:val="baseline"/>
        </w:rPr>
        <w:t xml:space="preserve">. számú ügyben pedig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ugyancsak a tényállás jelentős eltérése és a tájékoztatás adott ügybeni hiányossága miatt, lényegében azért állapította meg az árfolyamkockázatról nyújtott konkrét tájékoztatás hibáját, mert – az aláírt kockázatfeltáró nyilatkozat rendelkezésre állása nélkül – kizárólag a szerződés úgynevezett </w:t>
      </w:r>
      <w:r>
        <w:rPr>
          <w:vertAlign w:val="baseline"/>
        </w:rPr>
        <w:t xml:space="preserve">CHF</w:t>
      </w:r>
      <w:r>
        <w:rPr>
          <w:vertAlign w:val="baseline"/>
        </w:rPr>
        <w:t xml:space="preserve"> klauzulája alapján volt vizsgálható a tájékoztatás megfelelősége. Ez a szerződéses rendelkezés pedig – bár rögzítette, hogy az árfolyamkockázat jelentős lehet – az árfolyamváltozás mechanizmusáról és a fogyasztó fizetőképességére, gazdasági körülményeire gyakorolt hatásáról nem nyújtott elegendő tájékoztatást.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[18]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joggyakorlat egységének biztosítása érdekében a </w:t>
      </w:r>
      <w:r>
        <w:rPr>
          <w:vertAlign w:val="baseline"/>
        </w:rPr>
        <w:t xml:space="preserve">PK</w:t>
      </w:r>
      <w:r>
        <w:rPr>
          <w:vertAlign w:val="baseline"/>
        </w:rPr>
        <w:t xml:space="preserve"> vélemény 1. pontja értelmében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akkor engedélyezi, ha a jogerős ítélet olyan elvi jelentőségű jogkérdést vet fel, amellyel kapcsolatban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jogegységi határozatában, az általa a </w:t>
      </w:r>
      <w:r>
        <w:rPr>
          <w:vertAlign w:val="baseline"/>
        </w:rPr>
        <w:t xml:space="preserve">Bírósági Határozatok Gyűjteményében</w:t>
      </w:r>
      <w:r>
        <w:rPr>
          <w:vertAlign w:val="baseline"/>
        </w:rPr>
        <w:t xml:space="preserve"> közzétett eseti határozatban még nem foglalt állást, feltéve, hogy a jogértelmezést igénylő elvi jelentőségű jogkérdésben a bírói gyakorlat nem egységes, vagy a joggyakorlattól eltérő bírói döntés megismétlődésének, ezáltal a jogegység megbomlásának a veszélye áll fenn. A fél az engedélyezés alapjául szolgáló, eltérő határozatokat a felülvizsgálat engedélyezése iránti kérelmében köteles pontosan megjelölni, első fokon jogerőre emelkedett határozatra azonban nem hivatkozhat. A felülvizsgálat engedélyezésére irányuló kérelemben kizárólag másodfokon jogerőre emelkedett vagy kúriai döntésekre hivatkozhat a vizsgált engedélyezési ok körében, kizárva ezzel annak a lehetőségét, hogy a nem végleges, a perorvoslati bíróság hatására utóbb változó ítéletek alapozzák meg a felülvizsgálat engedélyezését.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[19]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felperes felülvizsgálat engedélyezése iránti kérelmében, joggyakorlat egységének biztosítása kapcsán, az eltérő gyakorlat alátámasztásaként a </w:t>
      </w:r>
      <w:r>
        <w:rPr>
          <w:vertAlign w:val="baseline"/>
        </w:rPr>
        <w:t xml:space="preserve">Fővárosi Törvényszék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73.Pf.639.492/2018/14</w:t>
      </w:r>
      <w:r>
        <w:rPr>
          <w:vertAlign w:val="baseline"/>
        </w:rPr>
        <w:t xml:space="preserve">. számú ítéletére hivatkozott.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azonban megállapította, hogy a hivatkozott határozatot a Kúria </w:t>
      </w:r>
      <w:r>
        <w:rPr>
          <w:vertAlign w:val="baseline"/>
        </w:rPr>
        <w:t xml:space="preserve">Pfv.I.20.025/2020/7</w:t>
      </w:r>
      <w:r>
        <w:rPr>
          <w:vertAlign w:val="baseline"/>
        </w:rPr>
        <w:t xml:space="preserve">. számú végzésével az elsőfokú bíróság ítéletére is kiterjedően hatályon kívül helyezte, és az ügyben eljárt elsőfokú bíróságot új eljárásra, új határozat hozatalára utasította. Ebből következően a hivatkozott határozat nem jogerős, így hivatkozási alapként nem alkalmas az ellentétes gyakorlat alátámasztására. 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[20]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fentiek mellett rámutat arra, a felperes (és névváltozás előtti jogelődje), illetve az </w:t>
      </w:r>
      <w:r>
        <w:rPr>
          <w:vertAlign w:val="baseline"/>
        </w:rPr>
        <w:t xml:space="preserve">MKB Bank Zrt.</w:t>
      </w:r>
      <w:r>
        <w:rPr>
          <w:vertAlign w:val="baseline"/>
        </w:rPr>
        <w:t xml:space="preserve"> perbeli tájékoztatással megegyező tartalmú árfolyamkockázati tájékoztatását már több ügyben is vizsgálta, és azt precedensképes határozataiban [a </w:t>
      </w:r>
      <w:r>
        <w:rPr>
          <w:vertAlign w:val="baseline"/>
        </w:rPr>
        <w:t xml:space="preserve">Bszi.</w:t>
      </w:r>
      <w:r>
        <w:rPr>
          <w:vertAlign w:val="baseline"/>
        </w:rPr>
        <w:t xml:space="preserve"> 32. § (1) bekezdés b) pontjára figyelemmel a </w:t>
      </w:r>
      <w:r>
        <w:rPr>
          <w:vertAlign w:val="baseline"/>
        </w:rPr>
        <w:t xml:space="preserve">BHGY</w:t>
      </w:r>
      <w:r>
        <w:rPr>
          <w:vertAlign w:val="baseline"/>
        </w:rPr>
        <w:t xml:space="preserve">-ban közzétett, 2012. január 1. után meghozott határozat] kivétel nélkül megfelelőnek találta (</w:t>
      </w:r>
      <w:r>
        <w:rPr>
          <w:vertAlign w:val="baseline"/>
        </w:rPr>
        <w:t xml:space="preserve">Pfv.VII.20.294/2021/13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Pfv.I.21.240/2020/5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Pfv.I.20.386/2019/10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Pfv.I.20.310/2019/6</w:t>
      </w:r>
      <w:r>
        <w:rPr>
          <w:vertAlign w:val="baseline"/>
        </w:rPr>
        <w:t xml:space="preserve">., </w:t>
      </w:r>
      <w:r>
        <w:rPr>
          <w:vertAlign w:val="baseline"/>
        </w:rPr>
        <w:t xml:space="preserve">Gfv.VII.30.077/2020/5</w:t>
      </w:r>
      <w:r>
        <w:rPr>
          <w:vertAlign w:val="baseline"/>
        </w:rPr>
        <w:t xml:space="preserve">.).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[21]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kiemeli továbbá, hogy a </w:t>
      </w:r>
      <w:r>
        <w:rPr>
          <w:vertAlign w:val="baseline"/>
        </w:rPr>
        <w:t xml:space="preserve">Jpe.I.60.015/2021/15</w:t>
      </w:r>
      <w:r>
        <w:rPr>
          <w:vertAlign w:val="baseline"/>
        </w:rPr>
        <w:t xml:space="preserve">. számú jogegységi hatályú határozatát követően is vizsgálta már a perbelivel azonos árfolyamkockázati tájékoztatás megfelelőségét (Gfv. </w:t>
      </w:r>
      <w:r>
        <w:rPr>
          <w:vertAlign w:val="baseline"/>
        </w:rPr>
        <w:t xml:space="preserve">VI.30.237/2021/6</w:t>
      </w:r>
      <w:r>
        <w:rPr>
          <w:vertAlign w:val="baseline"/>
        </w:rPr>
        <w:t xml:space="preserve">), és a tájékoztatást tisztességesnek ítélte többek között az engedélyezés iránti kérelemben hivatkozott </w:t>
      </w:r>
      <w:r>
        <w:rPr>
          <w:vertAlign w:val="baseline"/>
        </w:rPr>
        <w:t xml:space="preserve">EUB</w:t>
      </w:r>
      <w:r>
        <w:rPr>
          <w:vertAlign w:val="baseline"/>
        </w:rPr>
        <w:t xml:space="preserve"> határozatokban adott értelmezésre és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jogegységi határozataira is figyelemmel.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[22]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kifejtettek értelmében sem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409. § (3) bekezdése alapján, sem pedig a joggyakorlat egységének biztosítására hivatkozással sem volt mód a felülvizsgálat engedélyezésére, ezért a </w:t>
      </w:r>
      <w:r>
        <w:rPr>
          <w:vertAlign w:val="baseline"/>
        </w:rPr>
        <w:t xml:space="preserve">Kúria</w:t>
      </w:r>
      <w:r>
        <w:rPr>
          <w:vertAlign w:val="baseline"/>
        </w:rPr>
        <w:t xml:space="preserve"> a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411. § (1) bekezdése alapján megtagadta.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[23]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Az illetékekről szóló 1990. évi </w:t>
      </w:r>
      <w:r>
        <w:rPr>
          <w:vertAlign w:val="baseline"/>
        </w:rPr>
        <w:t xml:space="preserve">XCIII.</w:t>
      </w:r>
      <w:r>
        <w:rPr>
          <w:vertAlign w:val="baseline"/>
        </w:rPr>
        <w:t xml:space="preserve"> törvény (Itv.) 50. § (2a) bekezdés a) pontja szerint számított felülvizsgálat engedélyezése iránti eljárási illeték – a felperes személyes költségmentessége folytán –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102. § (6) bekezdése alapján az állam terhén marad.</w:t>
      </w:r>
    </w:p>
    <w:p>
      <w:pPr>
        <w:jc w:val="left"/>
      </w:pPr>
      <w:r>
        <w:rPr>
          <w:vertAlign w:val="baseline"/>
        </w:rPr>
        <w:t xml:space="preserve">  </w:t>
      </w:r>
    </w:p>
    <w:p>
      <w:pPr>
        <w:jc w:val="both"/>
      </w:pPr>
      <w:r>
        <w:rPr>
          <w:vertAlign w:val="baseline"/>
        </w:rPr>
        <w:t xml:space="preserve">[24]</w:t>
      </w:r>
      <w:r>
        <w:rPr>
          <w:vertAlign w:val="baseline"/>
        </w:rPr>
        <w:t xml:space="preserve">      </w:t>
      </w:r>
      <w:r>
        <w:rPr>
          <w:vertAlign w:val="baseline"/>
        </w:rPr>
        <w:t xml:space="preserve">A végzés elleni felülvizsgálatot a </w:t>
      </w:r>
      <w:r>
        <w:rPr>
          <w:vertAlign w:val="baseline"/>
        </w:rPr>
        <w:t xml:space="preserve">Pp.</w:t>
      </w:r>
      <w:r>
        <w:rPr>
          <w:vertAlign w:val="baseline"/>
        </w:rPr>
        <w:t xml:space="preserve"> 407. § (1) bekezdés d) pontja zárja ki.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Budapest, 2022. május 10.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Dr. Simonné</w:t>
      </w:r>
      <w:r>
        <w:rPr>
          <w:vertAlign w:val="baseline"/>
        </w:rPr>
        <w:t xml:space="preserve"> </w:t>
      </w:r>
      <w:r>
        <w:rPr>
          <w:vertAlign w:val="baseline"/>
        </w:rPr>
        <w:t xml:space="preserve">dr. Gombos Katalin</w:t>
      </w:r>
      <w:r>
        <w:rPr>
          <w:vertAlign w:val="baseline"/>
        </w:rPr>
        <w:t xml:space="preserve"> s.k. a tanács elnöke, </w:t>
      </w:r>
      <w:r>
        <w:rPr>
          <w:vertAlign w:val="baseline"/>
        </w:rPr>
        <w:t xml:space="preserve">Dr. Cseh Attila</w:t>
      </w:r>
      <w:r>
        <w:rPr>
          <w:vertAlign w:val="baseline"/>
        </w:rPr>
        <w:t xml:space="preserve"> s.k. előadó bíró, </w:t>
      </w:r>
      <w:r>
        <w:rPr>
          <w:vertAlign w:val="baseline"/>
        </w:rPr>
        <w:t xml:space="preserve">Dr. Farkas Attila</w:t>
      </w:r>
      <w:r>
        <w:rPr>
          <w:vertAlign w:val="baseline"/>
        </w:rPr>
        <w:t xml:space="preserve"> s.k. bíró 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A kiadmány hiteléül: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  <w:p>
      <w:pPr>
        <w:jc w:val="both"/>
      </w:pPr>
      <w:r>
        <w:rPr>
          <w:vertAlign w:val="baseline"/>
        </w:rPr>
        <w:t xml:space="preserve">S.K.</w:t>
      </w:r>
      <w:r>
        <w:rPr>
          <w:vertAlign w:val="baseline"/>
        </w:rPr>
        <w:t xml:space="preserve">                                                                                                               </w:t>
      </w:r>
      <w:r>
        <w:rPr>
          <w:vertAlign w:val="baseline"/>
        </w:rPr>
        <w:t xml:space="preserve">bírósági ügyintéző</w:t>
      </w:r>
    </w:p>
    <w:p>
      <w:pPr>
        <w:jc w:val="left"/>
      </w:pPr>
      <w:r>
        <w:rPr>
          <w:vertAlign w:val="baseline"/>
        </w:rPr>
        <w:t xml:space="preserve"> </w:t>
      </w:r>
      <w:r>
        <w:br/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215" w:rsidRDefault="009A6215" w:rsidP="0014128E">
      <w:pPr>
        <w:spacing w:after="0"/>
      </w:pPr>
      <w:r>
        <w:separator/>
      </w:r>
    </w:p>
  </w:endnote>
  <w:endnote w:type="continuationSeparator" w:id="0">
    <w:p w:rsidR="009A6215" w:rsidRDefault="009A6215" w:rsidP="001412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3801434"/>
      <w:docPartObj>
        <w:docPartGallery w:val="Page Numbers (Bottom of Page)"/>
        <w:docPartUnique/>
      </w:docPartObj>
    </w:sdtPr>
    <w:sdtEndPr/>
    <w:sdtContent>
      <w:p w:rsidR="0079103E" w:rsidRDefault="009A6215" w:rsidP="000061FE">
        <w:pPr>
          <w:pStyle w:val="llb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215" w:rsidRDefault="009A6215" w:rsidP="0014128E">
      <w:pPr>
        <w:spacing w:after="0"/>
      </w:pPr>
      <w:r>
        <w:separator/>
      </w:r>
    </w:p>
  </w:footnote>
  <w:footnote w:type="continuationSeparator" w:id="0">
    <w:p w:rsidR="009A6215" w:rsidRDefault="009A6215" w:rsidP="001412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52C" w:rsidRDefault="009375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1FE" w:rsidRDefault="00136C87">
    <w:pPr>
      <w:pStyle w:val="lfej"/>
    </w:pPr>
    <w:r>
      <w:t>Kúria</w:t>
    </w:r>
    <w:r w:rsidR="000061FE">
      <w:tab/>
    </w:r>
    <w:r w:rsidR="000061FE">
      <w:fldChar w:fldCharType="begin"/>
    </w:r>
    <w:r w:rsidR="000061FE">
      <w:instrText xml:space="preserve"> PAGE  \* Arabic  \* MERGEFORMAT </w:instrText>
    </w:r>
    <w:r w:rsidR="000061FE">
      <w:fldChar w:fldCharType="separate"/>
    </w:r>
    <w:r w:rsidR="00666525">
      <w:rPr>
        <w:noProof/>
      </w:rPr>
      <w:t>2</w:t>
    </w:r>
    <w:r w:rsidR="000061FE">
      <w:fldChar w:fldCharType="end"/>
    </w:r>
  </w:p>
  <w:p w:rsidR="0093752C" w:rsidRDefault="0093752C">
    <w:pPr>
      <w:pStyle w:val="lfej"/>
    </w:pPr>
    <w:r>
      <w:t>VI.Gfv.30.041/2022/5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03E" w:rsidP="00D354AC" w:rsidRDefault="0079103E">
    <w:pPr>
      <w:pStyle w:val="lfej"/>
      <w:spacing w:after="480"/>
    </w:pPr>
  </w:p>
</w:hdr>
</file>

<file path=word/numbering.xml><?xml version="1.0" encoding="utf-8"?>
<w:numbering xmlns:w="http://schemas.openxmlformats.org/wordprocessingml/2006/main">
  <w:abstractNum w:abstractNumId="1">
    <w:multiLevelType w:val="singleLevel"/>
    <w:lvl w:ilvl="0">
      <w:numFmt w:val="bullet"/>
      <w:lvlText w:val="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abstractNum w:abstractNumId="2">
    <w:multiLevelType w:val="singleLevel"/>
    <w:lvl w:ilvl="0">
      <w:numFmt w:val="decimal"/>
      <w:start w:val="1"/>
      <w:lvlText w:val="%1."/>
      <w:lvlJc w:val="left"/>
      <w:pStyle w:val="Cmsor1Char"/>
      <w:pPr/>
      <w:pPr>
        <w:ind w:start="0" w:firstLine="0"/>
      </w:pPr>
      <w:rPr>
        <w:rFonts w:hint="default" w:ascii="Symbol" w:hAnsi="Symbol"/>
      </w:rPr>
      <w:suff w:val="space"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79"/>
    <w:rsid w:val="000061FE"/>
    <w:rsid w:val="00034476"/>
    <w:rsid w:val="00034963"/>
    <w:rsid w:val="0005723F"/>
    <w:rsid w:val="00065DC3"/>
    <w:rsid w:val="0008220C"/>
    <w:rsid w:val="00091769"/>
    <w:rsid w:val="000B782D"/>
    <w:rsid w:val="000F498D"/>
    <w:rsid w:val="00136C87"/>
    <w:rsid w:val="0014128E"/>
    <w:rsid w:val="001719C9"/>
    <w:rsid w:val="001E0961"/>
    <w:rsid w:val="002029FA"/>
    <w:rsid w:val="002B4E04"/>
    <w:rsid w:val="003602E1"/>
    <w:rsid w:val="00377D7B"/>
    <w:rsid w:val="003D2E21"/>
    <w:rsid w:val="00400075"/>
    <w:rsid w:val="00445C9F"/>
    <w:rsid w:val="004852DC"/>
    <w:rsid w:val="004A5423"/>
    <w:rsid w:val="004F3F8A"/>
    <w:rsid w:val="00562FCC"/>
    <w:rsid w:val="005752C5"/>
    <w:rsid w:val="00645E89"/>
    <w:rsid w:val="006575A4"/>
    <w:rsid w:val="006652E2"/>
    <w:rsid w:val="00666525"/>
    <w:rsid w:val="006754E2"/>
    <w:rsid w:val="00757E57"/>
    <w:rsid w:val="007660D3"/>
    <w:rsid w:val="0079103E"/>
    <w:rsid w:val="00853160"/>
    <w:rsid w:val="008E2EA8"/>
    <w:rsid w:val="008E6F0B"/>
    <w:rsid w:val="0093752C"/>
    <w:rsid w:val="00994AF4"/>
    <w:rsid w:val="009A6215"/>
    <w:rsid w:val="00B54D1F"/>
    <w:rsid w:val="00B76174"/>
    <w:rsid w:val="00BE3D8F"/>
    <w:rsid w:val="00C811EB"/>
    <w:rsid w:val="00CB591D"/>
    <w:rsid w:val="00CD4772"/>
    <w:rsid w:val="00D322E0"/>
    <w:rsid w:val="00D354AC"/>
    <w:rsid w:val="00D506F1"/>
    <w:rsid w:val="00E15F75"/>
    <w:rsid w:val="00FA2D4D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5CFB"/>
  <w15:chartTrackingRefBased/>
  <w15:docId w15:val="{60EC4AFF-CC39-491D-BBEE-2CA624DE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52C5"/>
    <w:pPr>
      <w:spacing w:after="80" w:line="240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D506F1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506F1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506F1"/>
    <w:rPr>
      <w:rFonts w:ascii="Times New Roman" w:eastAsiaTheme="majorEastAsia" w:hAnsi="Times New Roman" w:cstheme="majorBidi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14128E"/>
  </w:style>
  <w:style w:type="paragraph" w:styleId="llb">
    <w:name w:val="footer"/>
    <w:basedOn w:val="Norml"/>
    <w:link w:val="llbChar"/>
    <w:uiPriority w:val="99"/>
    <w:unhideWhenUsed/>
    <w:rsid w:val="0014128E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14128E"/>
  </w:style>
  <w:style w:type="paragraph" w:styleId="Listaszerbekezds">
    <w:name w:val="List Paragraph"/>
    <w:basedOn w:val="Norml"/>
    <w:uiPriority w:val="34"/>
    <w:qFormat/>
    <w:rsid w:val="0008220C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semiHidden/>
    <w:rsid w:val="00D506F1"/>
    <w:rPr>
      <w:rFonts w:ascii="Times New Roman" w:eastAsiaTheme="majorEastAsia" w:hAnsi="Times New Roman" w:cstheme="majorBidi"/>
      <w:sz w:val="26"/>
      <w:szCs w:val="26"/>
    </w:rPr>
  </w:style>
  <w:style w:type="character" w:styleId="Erskiemels">
    <w:name w:val="Intense Emphasis"/>
    <w:basedOn w:val="Bekezdsalapbettpusa"/>
    <w:uiPriority w:val="21"/>
    <w:qFormat/>
    <w:rsid w:val="00D506F1"/>
    <w:rPr>
      <w:rFonts w:ascii="Times New Roman" w:hAnsi="Times New Roman"/>
      <w:i/>
      <w:iCs/>
      <w:color w:val="auto"/>
      <w:sz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506F1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506F1"/>
    <w:rPr>
      <w:i/>
      <w:iCs/>
    </w:rPr>
  </w:style>
  <w:style w:type="character" w:styleId="Ershivatkozs">
    <w:name w:val="Intense Reference"/>
    <w:basedOn w:val="Bekezdsalapbettpusa"/>
    <w:uiPriority w:val="32"/>
    <w:qFormat/>
    <w:rsid w:val="00D506F1"/>
    <w:rPr>
      <w:rFonts w:ascii="Times New Roman" w:hAnsi="Times New Roman"/>
      <w:b/>
      <w:bCs/>
      <w:smallCaps/>
      <w:color w:val="auto"/>
      <w:spacing w:val="5"/>
      <w:sz w:val="24"/>
    </w:rPr>
  </w:style>
  <w:style w:type="paragraph" w:styleId="Nincstrkz">
    <w:name w:val="No Spacing"/>
    <w:uiPriority w:val="1"/>
    <w:qFormat/>
    <w:rsid w:val="00091769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Cm">
    <w:name w:val="Title"/>
    <w:basedOn w:val="Norml"/>
    <w:next w:val="Norml"/>
    <w:link w:val="CmChar"/>
    <w:uiPriority w:val="10"/>
    <w:qFormat/>
    <w:rsid w:val="00D506F1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506F1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506F1"/>
    <w:pPr>
      <w:numPr>
        <w:ilvl w:val="1"/>
      </w:numPr>
    </w:pPr>
    <w:rPr>
      <w:rFonts w:eastAsiaTheme="minorEastAsia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D506F1"/>
    <w:rPr>
      <w:rFonts w:ascii="Times New Roman" w:eastAsiaTheme="minorEastAsia" w:hAnsi="Times New Roman"/>
      <w:spacing w:val="15"/>
      <w:sz w:val="24"/>
    </w:rPr>
  </w:style>
  <w:style w:type="character" w:styleId="Finomkiemels">
    <w:name w:val="Subtle Emphasis"/>
    <w:basedOn w:val="Bekezdsalapbettpusa"/>
    <w:uiPriority w:val="19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">
    <w:name w:val="Emphasis"/>
    <w:basedOn w:val="Bekezdsalapbettpusa"/>
    <w:uiPriority w:val="20"/>
    <w:qFormat/>
    <w:rsid w:val="00D506F1"/>
    <w:rPr>
      <w:rFonts w:ascii="Times New Roman" w:hAnsi="Times New Roman"/>
      <w:i/>
      <w:iCs/>
      <w:color w:val="auto"/>
      <w:sz w:val="24"/>
    </w:rPr>
  </w:style>
  <w:style w:type="character" w:styleId="Kiemels2">
    <w:name w:val="Strong"/>
    <w:basedOn w:val="Bekezdsalapbettpusa"/>
    <w:uiPriority w:val="22"/>
    <w:qFormat/>
    <w:rsid w:val="00D506F1"/>
    <w:rPr>
      <w:rFonts w:ascii="Times New Roman" w:hAnsi="Times New Roman"/>
      <w:b/>
      <w:bCs/>
      <w:sz w:val="24"/>
    </w:rPr>
  </w:style>
  <w:style w:type="paragraph" w:styleId="Idzet">
    <w:name w:val="Quote"/>
    <w:basedOn w:val="Norml"/>
    <w:next w:val="Norml"/>
    <w:link w:val="IdzetChar"/>
    <w:uiPriority w:val="29"/>
    <w:qFormat/>
    <w:rsid w:val="00D506F1"/>
    <w:pPr>
      <w:spacing w:before="200"/>
      <w:ind w:left="864" w:right="864"/>
      <w:jc w:val="center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D506F1"/>
    <w:rPr>
      <w:rFonts w:ascii="Times New Roman" w:hAnsi="Times New Roman"/>
      <w:i/>
      <w:iCs/>
      <w:sz w:val="24"/>
    </w:rPr>
  </w:style>
  <w:style w:type="character" w:styleId="Finomhivatkozs">
    <w:name w:val="Subtle Reference"/>
    <w:basedOn w:val="Bekezdsalapbettpusa"/>
    <w:uiPriority w:val="31"/>
    <w:qFormat/>
    <w:rsid w:val="00D506F1"/>
    <w:rPr>
      <w:rFonts w:ascii="Times New Roman" w:hAnsi="Times New Roman"/>
      <w:smallCaps/>
      <w:color w:val="auto"/>
      <w:sz w:val="24"/>
    </w:rPr>
  </w:style>
  <w:style w:type="character" w:styleId="Knyvcme">
    <w:name w:val="Book Title"/>
    <w:basedOn w:val="Bekezdsalapbettpusa"/>
    <w:uiPriority w:val="33"/>
    <w:qFormat/>
    <w:rsid w:val="00D506F1"/>
    <w:rPr>
      <w:rFonts w:ascii="Times New Roman" w:hAnsi="Times New Roman"/>
      <w:b/>
      <w:bCs/>
      <w:i/>
      <w:iCs/>
      <w:spacing w:val="5"/>
      <w:sz w:val="24"/>
    </w:rPr>
  </w:style>
  <w:style w:type="character" w:styleId="Helyrzszveg">
    <w:name w:val="Placeholder Text"/>
    <w:basedOn w:val="Bekezdsalapbettpusa"/>
    <w:uiPriority w:val="99"/>
    <w:semiHidden/>
    <w:rsid w:val="00006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6EE93-D828-4236-8F83-A310B912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0</Words>
  <Characters>0</Characters>
  <DocSecurity>0</DocSecurity>
  <Lines>0</Lines>
  <Paragraphs>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2018-09-19T09:52:00Z</dcterms:created>
  <dcterms:modified xsi:type="dcterms:W3CDTF">2020-01-21T10:01:00Z</dcterms:modified>
</cp:coreProperties>
</file>