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Pfv.V.20.917/2021/8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Dr. Bartal Géza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Dr. Magosi Szilvia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Dr. Puskás Péter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felperes1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</w:p>
    <w:p>
      <w:pPr>
        <w:jc w:val="both"/>
      </w:pPr>
      <w:r>
        <w:rPr>
          <w:vertAlign w:val="baseline"/>
        </w:rPr>
        <w:t xml:space="preserve">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; ügyintéző: </w:t>
      </w:r>
      <w:r>
        <w:rPr>
          <w:vertAlign w:val="baseline"/>
        </w:rPr>
        <w:t xml:space="preserve">dr. Pomázi Miklós</w:t>
      </w:r>
      <w:r>
        <w:rPr>
          <w:vertAlign w:val="baseline"/>
        </w:rPr>
        <w:t xml:space="preserve"> ügyvéd)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alperes1</w:t>
      </w: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</w:p>
    <w:p>
      <w:pPr>
        <w:jc w:val="both"/>
      </w:pPr>
      <w:r>
        <w:rPr>
          <w:vertAlign w:val="baseline"/>
        </w:rPr>
        <w:t xml:space="preserve">Molnárné </w:t>
      </w:r>
      <w:r>
        <w:rPr>
          <w:vertAlign w:val="baseline"/>
        </w:rPr>
        <w:t xml:space="preserve">dr. Bosnyákovits Laura</w:t>
      </w:r>
      <w:r>
        <w:rPr>
          <w:vertAlign w:val="baseline"/>
        </w:rPr>
        <w:t xml:space="preserve"> ügyvéd 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Vételár megfizetése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</w:p>
    <w:p>
      <w:pPr>
        <w:jc w:val="both"/>
      </w:pPr>
      <w:r>
        <w:rPr>
          <w:vertAlign w:val="baseline"/>
        </w:rPr>
        <w:t xml:space="preserve">Felperes</w:t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</w:t>
      </w:r>
    </w:p>
    <w:p>
      <w:pPr>
        <w:jc w:val="both"/>
      </w:pPr>
      <w:r>
        <w:rPr>
          <w:vertAlign w:val="baseline"/>
        </w:rPr>
        <w:t xml:space="preserve">Tatabányai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2.Gf.40.002/2021/7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</w:t>
      </w:r>
    </w:p>
    <w:p>
      <w:pPr>
        <w:jc w:val="both"/>
      </w:pPr>
      <w:r>
        <w:rPr>
          <w:vertAlign w:val="baseline"/>
        </w:rPr>
        <w:t xml:space="preserve">Tatabányai </w:t>
      </w:r>
      <w:r>
        <w:rPr>
          <w:vertAlign w:val="baseline"/>
        </w:rPr>
        <w:t xml:space="preserve">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10.G.40.014/2019/28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 felperest, hogy 15 napon belül fizessen meg az alperes részére </w:t>
      </w:r>
      <w:r>
        <w:rPr>
          <w:vertAlign w:val="baseline"/>
        </w:rPr>
        <w:t xml:space="preserve">657.860</w:t>
      </w:r>
      <w:r>
        <w:rPr>
          <w:vertAlign w:val="baseline"/>
        </w:rPr>
        <w:t xml:space="preserve"> (hatszázötvenhétezer-nyolcszázhatvan) forint felülvizsgálati eljárási költséget.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peres felek 2015. április 2-án 2032. június 30-ig szóló szerződést kötöttek faapríték határidős adásvételére. A szerződésben az eladó felperes vállalta, hogy megújuló hő- és villamosenergia termelés céljából az alperes részére rendelkezésre tart és értékesít előre meghatározott mennyiségű és minőségű faaprítékot. A vevő alperes vállalta, hogy a szerződés alapján leszállított tüzelőanyagot a szerződés 2. számú mellékletében megjelölt vételár, valamint a tüzelőanyag minőségi paraméterei alapján meghatározott árkorrekciós metodika figyelembevételével átveszi.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szerződés 4.2. pontja tartalmazza, hogy a szerződés 2. számú mellékletében megállapított átvételi ár a tüzelőanyag 2015. évre vonatkoztatott bázisárát jelenti. A felek évente egy alkalommal, a tárgyév június 1. napjáig a 2. számú mellékletben rögzített árképlet alapján kiigazítják a vételárat. Az így megállapított indexált vételár a tárgyév július 1. napjától a tárgyévet követő év június 30. napjáig érvényes.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felek a szerződés 4.3. pontban kikötötték, hogy amennyiben az indexált éves vételár +/- 5%-nál nagyobb mértékben eltér a megelőző éves vételár nagyságától, úgy tárgyalás útján határozzák meg az adott évre vonatkozó vételárat. Ha a tárgyalások eredmény nélkül zárulnak, úgy az indexált vételár nagysága (az árképlet +/- irányadó hatását figyelembe véve) maximum +/- 5%-kal változhat. A 4.4. pontban foglaltak értelmében a 2. számú mellékletben rögzített, 4.3. pont szerint indexált bázisár 2016. július 1-től 2021. június 30-ig alkalmazandó.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szerződés alapján a vételár számításakor figyelembe kellett venni a faapríték nedvességtartalmát is, amely alapján a felperest sávosan bónusz illette meg.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felek a 2017. július 1. és 2018. június 30. közötti időszakra vonatkozó vételárat a szerződés 4.2 pontja szerint kiigazították. Az árindex-változás 2018-ban +5,96% volt, ám a szerződésben előírt, június 1-ig történő vételárkiigazítás elmaradt.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Az alperes </w:t>
      </w:r>
      <w:r>
        <w:rPr>
          <w:vertAlign w:val="baseline"/>
        </w:rPr>
        <w:t xml:space="preserve">2017-2018.</w:t>
      </w:r>
      <w:r>
        <w:rPr>
          <w:vertAlign w:val="baseline"/>
        </w:rPr>
        <w:t xml:space="preserve"> év során azt tapasztalta, hogy a felperes által szállított faapríték átlagos nedvességtartalma 35%-nál alacsonyabb, amely nála a kazánok hatékonyságának csökkenését, a felperesnél pedig magasabb bónuszt eredményez.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felek között 2018. júliusától egyeztetés kezdődött a vételárról. A 2018. augusztus 15-én kelt „emlékeztetőben” írtak szerint egyetértettek abban, hogy az alperes 2018. július 1-től a megegyezésük létrejöttéig, de legfeljebb 2018. szeptember 30-ig az 5%-os indexált éves vételárat nem köteles megfizetni a felperesnek, a többi fizetési kötelezettségét azonban e nélkül teljesíti, amelyről a felperes számlát állíthat ki. A felek megállapodása értelmében ez az időleges egyezség kizárólag az indexálás nélküli teljesítés körében érvényes, a felperes a megállapodással a jogairól nem mond le.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További</w:t>
      </w:r>
      <w:r>
        <w:rPr>
          <w:vertAlign w:val="baseline"/>
        </w:rPr>
        <w:t xml:space="preserve"> eredménytelen tárgyalásokat követően a felperes 2018. július 1-től az 5%-os vételáremelkedés szerinti különbözetre kiállította a számláit. Az alperesezeket a számlákat visszautasította. </w:t>
      </w:r>
    </w:p>
    <w:p>
      <w:pPr>
        <w:jc w:val="both"/>
      </w:pPr>
      <w:r>
        <w:rPr>
          <w:b/>
          <w:vertAlign w:val="baseline"/>
        </w:rPr>
        <w:t xml:space="preserve">A kereseti kérelem és az alperes védekezése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A felperes az adásvételi szerződés 4.2. és 4.3. pontjaira és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(a 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6:58. §-ára, 6:59.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bekezdésére, 6:61. §-ára, 6:155.§ (1) bekezdésére, valamint a behajtási költségátalányról szóló 2016. évi </w:t>
      </w:r>
      <w:r>
        <w:rPr>
          <w:vertAlign w:val="baseline"/>
        </w:rPr>
        <w:t xml:space="preserve">IX.</w:t>
      </w:r>
      <w:r>
        <w:rPr>
          <w:vertAlign w:val="baseline"/>
        </w:rPr>
        <w:t xml:space="preserve"> törvény 3. § (1) bekezdésére alapított keresetében 2018. július, augusztus, október, november hóra összesen </w:t>
      </w:r>
      <w:r>
        <w:rPr>
          <w:vertAlign w:val="baseline"/>
        </w:rPr>
        <w:t xml:space="preserve">27.875.339</w:t>
      </w:r>
      <w:r>
        <w:rPr>
          <w:vertAlign w:val="baseline"/>
        </w:rPr>
        <w:t xml:space="preserve"> forint vételárkülönbözet és 2019. január 6-tól járó késedelmi kamata, továbbá 120 euró behajtási költségátalány megfizetésére kérte kötelezni az alperest. Előadta, hogy a szerződés 4.3. pontja szerint az alperes köteles megfizetni a 2018. évi automatikusan +5%-os mértékkel indexált vételár-különbözetet.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ellenkérelme a kereset elutasítására irányult. Arra hivatkozott, hogy a felperes egyetértés hiányában, egyoldalú szerződésmódosítás alapján nem követelheti az 5%-os vételár-különbözetet. Nem egyértelmű, hogy az árváltozás kizárólag az alapár vonatkozásában vagy az alapár és a bónusz duális kezelésével jelenik meg az árindexálás során.</w:t>
      </w:r>
    </w:p>
    <w:p>
      <w:pPr>
        <w:jc w:val="both"/>
      </w:pPr>
      <w:r>
        <w:rPr>
          <w:b/>
          <w:vertAlign w:val="baseline"/>
        </w:rPr>
        <w:t xml:space="preserve">Az első- és másodfokú ítélet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ítéletével helyt adott a keresetnek.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indokolása szerint abban a kérdésben kellett állást foglalnia, hogy a felek közötti szerződés 4.3. pontja értelmében a felperes jogosult volt-e az alperesnek megküldött +5%-os indexált árváltozást tartalmazó számlák kiállítására. E körben vizsgálta a felek szerződésének ármegállapításra vonatkozó pontjai lehetséges értelmezését, illetve a 2018. augusztus 15-i megállapodásuk tartalmát.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Döntése</w:t>
      </w:r>
      <w:r>
        <w:rPr>
          <w:vertAlign w:val="baseline"/>
        </w:rPr>
        <w:t xml:space="preserve"> értelmében a szerződés 4.2. és 4.3. pontja együttesen és akként értelmezendő, hogy 5%-nál nagyobb mértékű árindex-változás és a felek tárgyalásának eredménytelensége esetén – a 4.2. pont szigora tükrében – a 4.3. pont szerint maximált árindex-változás alkalmazandó a következő évre. Ennek alkalmazásával a felperes nem módosította a szerződés rendelkezéseit, csupán értelmezte és alkalmazta azokat. Az elsőfokú bíróság mérlegelési körébe vonta a szerződés 4.4. pontját is, amely a 2021-től alkalmazandó vételár-megállapítás szabályait tartalmazza és annak alapján is azt az álláspontját látta megerősítettnek, hogy a szerződés akkor teljesíthető a felek céljainak megfelelően, ha abban a korlátos automatizmus érvényesül.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2018. július 1. és szeptember 30. közötti növekménnyel kapcsolatban az elsőfokú bíróság a felek tárgyalásáról készült emlékeztetőből azt a következtetést vonta le, hogy az alperes teljesítési kötelezettségét a felek ideiglenesen függőben tartották addig, amíg a megállapodás létre nem jön, ennek hiánya esetén egy végső határidőig. Álláspontja szerint az emlékeztetőből nem lehetett arra következtetni, hogy a növekmény sorsát a felek végleges hatállyal rendelkezték volna, a követeléséről a felperes lemondott volna. </w:t>
      </w:r>
      <w:r>
        <w:rPr>
          <w:vertAlign w:val="baseline"/>
        </w:rPr>
        <w:t xml:space="preserve">név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név1</w:t>
      </w:r>
      <w:r>
        <w:rPr>
          <w:vertAlign w:val="baseline"/>
        </w:rPr>
        <w:t xml:space="preserve"> tanúk ettől eltérő releváns és egybecsengő tudomásról nem tudtak beszámolni. </w:t>
      </w:r>
      <w:r>
        <w:rPr>
          <w:vertAlign w:val="baseline"/>
        </w:rPr>
        <w:t xml:space="preserve">név2</w:t>
      </w:r>
      <w:r>
        <w:rPr>
          <w:vertAlign w:val="baseline"/>
        </w:rPr>
        <w:t xml:space="preserve"> tanú vallomásából sem lehetett más következtetésre jutni.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fellebbezése folytán eljárt másodfokú bíróság ítéletével megváltoztatta az elsőfokú ítéletet és a felperes keresetét elutasította.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 indokolása szerint az elsőfokú bíróság lefolytatta a szükséges bizonyítást, a rendelkezésre álló okirati bizonyítékokat azonban részben iratellenesen, részben okszerűtlenül értékelte.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346. § (5) bekezdésében foglalt indokolási kötelezettségét is megsértette, ez azonban nem minősült a fellebbezési eljárásban orvosolhatatlan hibának, mivel a szükséges adatok a másodfokú bíróság rendelkezésére álltak.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másodfokú bíróság az elsőfokú bíróság által megállapított tényállást kiegészítve megállapította, hogy a felek között 2016. és 2017. évben nem a szerződésben meghatározottak szerint történt az éves indexált ár meghatározása, azt mindkét esetben a felperes kezdeményezte, és nem merült fel arra vonatkozó peradat, hogy az alperessel szemben szerződésszegés címén jogkövetkezmény alkalmazását kérte volna az indexált ár közlésével kapcsolatos kötelezettsége elmulasztása miatt.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másodfokú bíróság jelentőséget tulajdonított annak a körülménynek is, hogy az adásvételi szerződés 2. számú melléklete úgy rendelkezik, hogy a </w:t>
      </w:r>
      <w:r>
        <w:rPr>
          <w:vertAlign w:val="baseline"/>
        </w:rPr>
        <w:t xml:space="preserve">KSH</w:t>
      </w:r>
      <w:r>
        <w:rPr>
          <w:vertAlign w:val="baseline"/>
        </w:rPr>
        <w:t xml:space="preserve"> ipari termelői árindexe és a tűzifa fogyasztói árindexe alapján történik az ár kiigazítása. A két árindex nem az adásvétel tárgyát képező faapríték éves árváltozását tükröző mutató, hanem attól különböző két másik index, amelyben a felek saját kockázatukra állapodtak meg. Az indexált ár megállapítása tárgyában a felek folyamatosan tárgyalásokat folytattak. Az egyeztetések 2019. január 17-én is zajlottak. A tárgyalásoknak témája volt a szerződés szerinti 2018. július 1-től életbe lépett új 5%-kal növelt indexált ár </w:t>
      </w:r>
      <w:r>
        <w:rPr>
          <w:vertAlign w:val="baseline"/>
        </w:rPr>
        <w:t xml:space="preserve">cég1</w:t>
      </w:r>
      <w:r>
        <w:rPr>
          <w:vertAlign w:val="baseline"/>
        </w:rPr>
        <w:t xml:space="preserve"> Kft. részéről történő elfogadása, és visszamenőleges hatállyal történő kiegyenlítése.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tényállást a másodfokú bíróság azzal is kiegészítette, hogy a szerződés 4.3. pontja szerint, amennyiben a felek nem tudnak megállapodni az áremelés mértékéről, úgy az ár maximum +/- 5%-kal változhat. Az alperes a magyar nyelv szabályaira, valamint a matematika szabályaira hivatkozva ezt akként értelmezte, hogy az árváltozás mértéke lehet akár 0% is, de maximum 5%. Az volt továbbá mindvégig az álláspontja, hogy a szerződés 4.3. pontjában rögzített esetben nem működhet automatizmus. Ha magasabb az árindex, mint 5%, akkor nincs automatikusan új ár meghatározva.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másodfokú bíróság a tényállás elemének tekintette továbbá, hogy az alperesnek együtt volt módja az indexálásra és a megvett áru nedvességtartalmával kapcsolatos árkorrekció megtárgyalására.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másodfokú bíróság álláspontja szerint az elsőfokú bíróság helyesen foglalt állást abban a körben, hogy a jogvita tárgyát a szerződés értelmezése képezte. A szerződés 4.2. és 4.3. pontjának összemosásával azonban helytelen következtetést vont le. A 4.3. pont rendelkezése alapján annyi állapítható meg, hogy a felek egymással tárgyalni kötelesek, ha a vételár +/- 5%-kal nagyobb mértékben tér el a megelőző éves vételártól. Amennyiben a tárgyalások eredménytelenül záródnak, úgy a szerződés 22.3. pontja alapján a vitát elsődlegesen tárgyalásos úton, peren kívül kísérlik meg rendezni a felek, ennek sikertelensége esetén pedig a </w:t>
      </w:r>
      <w:r>
        <w:rPr>
          <w:vertAlign w:val="baseline"/>
        </w:rPr>
        <w:t xml:space="preserve">Tatabányai Járásbíróság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Tatabányai Törvényszék</w:t>
      </w:r>
      <w:r>
        <w:rPr>
          <w:vertAlign w:val="baseline"/>
        </w:rPr>
        <w:t xml:space="preserve"> kizárólagos illetékességét kötötték ki.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ítéletből a másodfokú bíróság szerint kitűnt, hogy a jogvita megítélése során a bíróság alkalmazta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6:1. §-ában, 6:2. §-ában foglaltakat, a 6:4. § rendelkezéseit és a 6:6.-6:8. §-ok előírásait.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ítéletben a másodfokú bíróság rámutatott arra, hogy szem előtt kellett tartani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6:58. §-át és a 6:59. §-át is, amelyek alapján a szerződés 4.3. pontjának megfogalmazása nem sért jogszabályi előírást. A felek közösen határozták meg és fogadták el a szerződésnek azt a rendelkezését, hogy ha +/- 5%-nál nagyobb az indexálás mértéke, akkor nincs meghatározva egyértelműen az ár módosításának, kiszámításának szabálya, hanem tárgyalásokat kell folytatni. A megfogalmazás a felek kölcsönös akaratát és szándékát tükrözi. Megegyezés hiányában mindkét fél számára kockázatot hordozott. Ezért kötötték ki a tárgyalások eredménytelensége esetére a bírósági eljárást. Ebben a körben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6:63. §-a irányadó.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Kiemelte</w:t>
      </w:r>
      <w:r>
        <w:rPr>
          <w:vertAlign w:val="baseline"/>
        </w:rPr>
        <w:t xml:space="preserve"> a másodfokú bíróság, hogy a perben nem állt rendelkezésre olyan okirat, amely igazolta volna, hogy a felperes bármilyen egyezség alapján felhatalmazást szerzett arra, hogy egyoldalúan automatizmus alkalmazásával állítson ki számlákat emelt áron.</w:t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kérelmében a jogerős ítélet hatályon kívül helyezését és a keresetnek helyt adó új határozat hozatalát kérte. Álláspontja szerint a jogerős ítélet sérti </w:t>
      </w:r>
      <w:r>
        <w:rPr>
          <w:vertAlign w:val="baseline"/>
        </w:rPr>
        <w:t xml:space="preserve">Magyarország Alaptörvénye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) 28. cikkét,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preambulumában foglaltakat,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bekezdését, 346. § </w:t>
      </w:r>
      <w:r>
        <w:rPr>
          <w:vertAlign w:val="baseline"/>
        </w:rPr>
        <w:t xml:space="preserve">(4)-(5)</w:t>
      </w:r>
      <w:r>
        <w:rPr>
          <w:vertAlign w:val="baseline"/>
        </w:rPr>
        <w:t xml:space="preserve"> bekezdését, 364. §-át, 386. § (1) bekezdését, 369. § (3)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pontját, valamint a bíróságok szervezetéről és igazgatásáról 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) 2. § (2) bekezdését, 13. § (1) bekezdését.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abban egyetértett a jogerős ítéletben foglaltakkal, hogy a jogvita tárgyát a szerződés értelmezése képezte. Szerinte azonban a másodfokú bíróság kirívóan okszerűtlenül mérlegelte a bizonyítékokat, és nem tett eleget kellő mértékben az indokolási kötelezettségének. A jogerős ítélet iratellenes, ellentmondásos.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előadta, hogy a felek meghatározták az alap vételárat, amely egy képlet attól függően, milyen minőségű tüzelőanyag cserél gazdát. A szerződéses szolgáltatásaik egyenértékűségét árváltozás esetére azon a módon kívánták biztosítani, hogy a szerződés 4.2. pontjában kikötötték, az 5% alatti árváltozás magától „hozzánő vagy hozzácsökken” az árhoz. A szerződés 4.3. pontjában azt kötötték ki, hogy amennyiben az árváltozás 5% feletti, tárgyalnak és közösen meghatározzák az emelt vagy csökkent vételárat. Arra az esetre pedig, ha nem tudnának megegyezni, a másik fél 5%-kal emelt vagy csökkent vételár fizetésére/elfogadására köteles. Jól mutatja mindezt a szerződés 15.4. pontja is, amely a későbbi (a szerződés 4.4. pontja szerinti) tárgyalások eredménytelensége esetére határozza meg ugyanígy a követendő utat: „Eladó köteles […] szállítási kötelezettségének eleget tenni a 4.3. pont alapján indexált éves vételáron.” Az elsőfokú bíróság a valóságnak megfelelő tényállást tárt fel, és abból okszerű jogi következtetések levonásával érdemben helyes ítéletet hozott.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szerint a másodfokú bíróság „nem tárgyalta ki” azokat a bizonyítékokat, amelyeken az elsőfokú ítélet alapult. Kiegészítette a tényállást, de nem indokolta meg, hogy annak miként van hatása a jogi következtetésére. A perben rendelkezésre álló bizonyítékokat (különösen a 2018. augusztus 15-i jognyilatkozatot, amelyben csakis az 5%-os emelés szerepel, illetve az alperes pert megelőző levelezését) anélkül vetette el, hogy azokat megcáfolta volna.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rámutatott arra, hogy a felek korábbi magatartásának nem volt jelentősége mert, mindeddig nem alkalmazták a szerződés 4.3. pontját, az áremelkedés mértéke ugyanis nem érte el az 5%-ot. A szerződés a 16.3. pontja alapján csak írásban módosítható, ezért a magatartásukból annak tartalmára nem vonható le következtetés. A perben a felek egyezően adták elő, illetve az alperes nem kérdőjelezte meg, hogy a szerződés 4.3. pontja a faapríték árának emelkedését volt hivatott kezelni a felek belső viszonyában. Nem merült fel sem a perfelvételi nyilatkozatában, sem később, hogy az alperes az árindex megfelelőségét, forrását a mentesülésére kívánná felhasználni. A másodfokú bíróság azzal, hogy az indexálásnak más jelentőséget tulajdonított, megsértette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266. § (1) bekezdésében foglaltakat.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szerint további jogszabálysértése a másodfokú bíróságnak az anyagi pervezetés [Pp. 237. § (3)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pont] hiánya, ugyanis nem hozta a felek tudomására, hogy valamely tényt hivatalból kívánt figyelembe venni. A másodfokú bíróság nem indokolta meg, hogy mi jelentősége van annak, hogy a faapríték árának változását a felek az általános </w:t>
      </w:r>
      <w:r>
        <w:rPr>
          <w:vertAlign w:val="baseline"/>
        </w:rPr>
        <w:t xml:space="preserve">KSH</w:t>
      </w:r>
      <w:r>
        <w:rPr>
          <w:vertAlign w:val="baseline"/>
        </w:rPr>
        <w:t xml:space="preserve"> index-szel és a tűzifa árával határozták meg a szerződés mellékletében. A szerződéskötéskor nem állt módjukban „faapríték árváltozási indexhez” kötni a változást, mert ilyen mérőszám nem is létezik. A jogerős ítéletbe bevezetett tétel nem tényszerű. Feltételezés csupán a másodfokú bíróság részéről az, hogy a faapríték árváltozás más lenne, ha nem a szerződésben rögzített árindexeket társították volna hozzá a felek.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ítéletben foglaltakat a 2019. január 17-i emlékeztető nem támasztja alá. A szövegéből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6:8. §-a alapján az olvasható ki, hogy a felek 5%-ról beszélnek és nem tárgyalják az áremelkedés kérdését, mert arra vonatkozóan megvitatható ajánlat nem volt.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rámutatott arra, hogy a perben az alperes nem tett következetes állításokat abban a vonatkozásban, hogy a 4.3. pont szerinti 5% milyen „tól-ig skálát” jelentene. A perbeli állításait ugyanakkor a másodfokú bíróság nem vetette össze a pert megelőző nyilatkozataival. Az alperes a pert megelőzően az 5%-os indexált vételár visszautasításának indokaként nem említette, hogy az 5%-ot a felperestől eltérően értelmezi, és arra sem tért ki a 4.3. pontra történő hivatkozás során, hogy ezen pont alkalmazása nem automatikus.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utalt arra, hogy az alperes munkavállalója, </w:t>
      </w:r>
      <w:r>
        <w:rPr>
          <w:vertAlign w:val="baseline"/>
        </w:rPr>
        <w:t xml:space="preserve">név1</w:t>
      </w:r>
      <w:r>
        <w:rPr>
          <w:vertAlign w:val="baseline"/>
        </w:rPr>
        <w:t xml:space="preserve"> tanúként azt nyilatkozta, hogy nem volt olyan kijelentés az alperes vagy bárki részéről, miszerint a felperesnek ne járna az 5%-kos indexált növekmény. Érthetetlen ezért a jogerős ítéletben megállapított tényállás. </w:t>
      </w:r>
      <w:r>
        <w:rPr>
          <w:vertAlign w:val="baseline"/>
        </w:rPr>
        <w:t xml:space="preserve">név</w:t>
      </w:r>
      <w:r>
        <w:rPr>
          <w:vertAlign w:val="baseline"/>
        </w:rPr>
        <w:t xml:space="preserve"> tanú pedig azt támasztotta alá, hogy a felek fizetési moratóriumot hoztak létre, de egyben elismerték, hogy van létjogosultsága az 5%-kos indexálásnak, az nem bírósági úton érvényesítendő tétel, hanem az eredménytelen tárgyalások limitált következménye.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érvelése értelmében a szerződés tárgyalásra vonatkozó kikötéseit komplexen kell értelmezni. Ha nem automatizmus lenne a +/- 5%-os árváltozás, hanem bírósághoz kellene fordulniuk, akkor magyarázatra szorulna a 4.3. pontban rögzített kikötés, hiszen a bírósági jogérvényesítés lehetőségét eleve tartalmazza a szerződés 22.3. pontja, amely előzetes tárgyalást ír elő. A felek nyilván nem önismétlést kívántak, hanem eltérő tartalmat akartak megállapítani.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rámutatott arra is, hogy a másodfokú bíróság szerint fontos eleme a tényállásnak, hogy az alperesnek együtt volt módja az indexálás és a megvett áru nedvességtartalmával kapcsolatos árkorrekció megtárgyalására, de a jogerős ítélet ezzel kapcsolatban semmilyen következtetést nem tartalmaz. Az indexálást a felperes a szerződésben felállított modell megvalósításának látta, míg a nedvesség miatti szerződésmódosítást ettől függetlennek tekintette, amit a szerződés 16.3. pontja alapján lehet megvitatni. A szerződésben a két kérdés együttes tárgyalására vonatkozó kikötés nincs. A tanúk beszámoltak arról, hogy e kérdések nem kapcsolódtak össze.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kifejtette, hogy a másodfokú bíróság az eredménytelen tárgyalást követően tévesen tartott még egy tárgyalást előirányozhatónak a felek között, és nem is indokolta meg, hogy mi lenne a második tárgyalás tartalma.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analógiaként hivatkozott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cikkére, mivel a felek szerződési akaratának megállapításánál is segítségül hívható a józan ész és a tisztesség. Szerinte a másodfokú bíróság ezzel ellentétesen értelmezte a szerződést. Továbbá a másodfokú bíróság megállapítása a szerződés logikájából sem következik. Az 5%-ot meghaladó árváltozás esetén is alkalmazandó ugyanis a 4.2. pont, amelyben nincs feltételes mód. A 15.4. pont szerint pedig a 4.3. pont alapján indexált éves vételáron kell átvenni később az árut. Ha a felek szándéka a másodfokú bíróság értelmezésével lett volna azonos, ebben a szerződési pontban a 4.3. pont mellett a 22.3. pontot is szerepeltetni kellett volna.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előadta továbbá, hogy a jogerős ítélet nem koherens, mert az [53] bekezdésében dupla tárgyalást, az [54] bekezdésben pedig már csak egy közös tárgyalás szükségességét tételezi fel. Állította, hogy a szerződés perben vitatott kikötése önmagában is jól értelmezhető, de a szerződés többi rendelkezésével „összeolvasva” a jelentése csak erősödik. A szerződés 4.3. alpontjában foglalt rendelkezés lényege, hogy kiugró árváltozás esetén egyik fél se kerüljön nehéz helyzetbe, ezért az ár maximum 5%-kal változik.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felülvizsgálati ellenkérelme a jogerős ítélet hatályban tartására irányult.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jogerős ítéletben kiegészített tényállás nem iratellenes. A felperes hivatkozásával ellentétben a vételárváltozás nem a faapríték piaci ára változásához kötött, hanem más, a </w:t>
      </w:r>
      <w:r>
        <w:rPr>
          <w:vertAlign w:val="baseline"/>
        </w:rPr>
        <w:t xml:space="preserve">KSH</w:t>
      </w:r>
      <w:r>
        <w:rPr>
          <w:vertAlign w:val="baseline"/>
        </w:rPr>
        <w:t xml:space="preserve"> által nyilvántartott mutatók súlyozott változásához. A per során az alperesi álláspont következetes és egyértelmű volt a tekintetében, hogy a szerződés vitatott rendelkezése nem csak a faapríték árának emelkedését, hanem csökkenését is hivatott volt kezelni. A +/- 5%-ot elérő mértékű árindex-változás esetére azért alkalmazták a felek a szerződés 4.3. pontjában rögzített szabályt, hogy a mutatók akár pozitív, akár negatív elszabadulása esetén ne legyen automatikusan ez a faaprítékhoz nem köthető ár.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406. § (1) bekezdése a jogerős ítélet felülvizsgálatát az ügy érdemére kiható jogszabálysértés, illetve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 esetén teszi lehetővé.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423. § (1) bekezdésében foglaltaknak megfelelően eljárva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felülvizsgálati kérelem keretei között, az ott megjelölt jogszabályok, illetve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 tekintetében vizsgálhatja felül. Az érdemi felülvizsgálat kereteit alapvetően a felülvizsgálati kérelem határozza meg, amelynek –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413. § (1) bekezdése értelmében – egymással szorosan összefüggő kötelező tartalmi kellékei a jogszabálysértés és a megsértett jogszabályhely megjelölése, valamint annak kifejtése, hogy a fél a határozat megváltoztatását milyen okból kívánja. Ezen együttes törvényi feltételeknek a fél akkor tesz eleget, ha egyrészt a megsértett jogszabályhelyet konkrétan megjelöli, másrészt a hivatkozott jogszabálysértést tartalmilag is körülírja, az arra vonatkozó jogi álláspontját kifejti, vagyis, ha a jogszabálysértésre való hivatkozása indokait is ismerteti [</w:t>
      </w:r>
      <w:r>
        <w:rPr>
          <w:vertAlign w:val="baseline"/>
        </w:rPr>
        <w:t xml:space="preserve">1/2016</w:t>
      </w:r>
      <w:r>
        <w:rPr>
          <w:vertAlign w:val="baseline"/>
        </w:rPr>
        <w:t xml:space="preserve">. (II. 15.)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3. és 4. pont, </w:t>
      </w:r>
      <w:r>
        <w:rPr>
          <w:vertAlign w:val="baseline"/>
        </w:rPr>
        <w:t xml:space="preserve">1/2017</w:t>
      </w:r>
      <w:r>
        <w:rPr>
          <w:vertAlign w:val="baseline"/>
        </w:rPr>
        <w:t xml:space="preserve">. Polgári jogegységi határozat].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felülvizsgálati kérelem elején felsorolta a megsértett jogszabályi rendelkezéseket, de a felülvizsgálati kérelemnek a jogi álláspontját kifejtő részében két kivétellel [Pp. 266. § (1) bekezdés, 237. § (3)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pont] nem tüntette fel, hogy az érvelése melyik jogszabályhely megsértésére vonatkozik. A felülvizsgálati kérelme érdemben csak annyiban volt vizsgálható, amennyiben az elején megjelölt jogszabályi hivatkozásokat összefüggésbe lehetett hozni a felülvizsgálati kérelem többi részében előadott indokokkal. A felperes a felülvizsgálati kérelemben anyagi jogi jogszabálysértést egyáltalán nem jelölt meg, így a felülvizsgálat erre nem terjedhetett ki.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 a másodfokú bíróság felülbírálati jogkörére vonatkozó eljárásjogi rendelkezés megsértésével kapcsolatos érvelést nem tartalmazott, ezért a felperes által megjelölt jogszabályhely megsértését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érdemben nem vizsgálhatta.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266. § (1) bekezdésének megsértésére a felperes nem bizonyítás nélkül megállapítható ténnyel kapcsolatban hivatkozott, ezért adekvát jogi érvelés hiányában ennek a jogszabályi rendelkezésnek a megsértése sem volt vizsgálható.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rendkívüli perorvoslatát megalapozó jogsértést a felperes abban határozta meg, hogy a másodfokú bíróság okszerűtlenül mérlegelte a bizonyítékokat és nem tett eleget az indokolási kötelezettségének, de valójában a jogerős ítéletet a perbeli szerződés értelmezése miatt tartotta jogszabálysértőnek.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indokolási kötelezettséget illetően a jogerős ítélet a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 13. § (1) bekezdését nem sérti, az ugyanis csupán azt mondja ki, hogy a bíróság a határozatát indokolni köteles. Az ítélet indokolására vonatkozó eljárásjogi szabályokat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</w:t>
      </w:r>
      <w:r>
        <w:rPr>
          <w:vertAlign w:val="baseline"/>
        </w:rPr>
        <w:t xml:space="preserve">(4)-(5)</w:t>
      </w:r>
      <w:r>
        <w:rPr>
          <w:vertAlign w:val="baseline"/>
        </w:rPr>
        <w:t xml:space="preserve"> bekezdése tartalmazza. A másodfokú bíróság a jogerős ítéletben megindokolta a szerződésértelmezés vonatkozásában az elsőfokú ítéletben foglaltaktól eltérő jogi álláspontját, és annak alapján megállapítható, hogy mire alapította a döntését. A felülvizsgálati kérelemben a felperes nem fejtette ki, hogy az ügy érdemére miként volt lényeges kihatása az indokolási kötelezettség általa hivatkozott megsértésének. Mindezek alapján nem volt megállapítható, hogy a felülvizsgálattal támadott jogerős ítélet sértené az ítélet indokolása tartalmi elemeit meghatározó eljárásjogi rendelkezéseket. Ennek megfelelően a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 2. § (1) bekezdése sem sérült.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§-ára tévesen hivatkozott, az ugyanis a jogszabályok értelmezésére vonatkozó rendelkezés, a jelen ügyben viszont a bíróság a felek szerződését értelmezte. A szerződés értelmezését szabályozza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a 6:8. §-ában, valamint a 6:86. §-ában, ezért szükségtelen kisegítő szabály alkalmazása. 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kérelemben foglaltakkal ellentétben a másodfokú bíróságnak nem kellett anyagi pervezetés útján hozzájárulni a jogvita kereteinek tisztázásához. Hivatalból figyelembe veendő tény sem merült fel az ügyben és a bíróság nem térhetett el a kereseti kérelemtől. A jogerős ítélet nem is hivatalból figyelembe vett tényen és nem is a felek által hivatkozott jogszabályi rendelkezés eltérő értelmezésén alapul. A felperes ezért alaptalanul hivatkozott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237. § (3)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-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pontjának megsértésére.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kérelemben a felperes sérelmezte, hogy a másodfokú bíróság a perbeli szerződés 4.3. pontjának értelmezése során nem volt figyelemmel a szerződés 15.4. pontjára, nem vetette össze az alperes perbeli tényállításait a pert megelőző nyilatkozataival, figyelembe vette a felek magatartását, nem komplexen értelmezte a szerződés kikötéseit. E nyilatkozataiból következően a felperes a szerződés értelmezését tartotta jogsértőnek. Nem volt ugyanakkor tekintettel arra, hogy a szerződés értelmezése a perben nem mérlegelés, hanem anyagi jogi jogszabályértelmezés és alkalmazás eredménye. A felülvizsgálati kérelemben nem hívta fel megsértett jogszabályi rendelkezésként sem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6:8. §-át, sem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6:86. §-át, így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vizsgálhatta, hogy a másodfokú bíróság az anyagi jogi jogszabályoknak megfelelően értelmezte-e a perbeli szerződés ármegállapításra vonatkozó kikötéseit.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azt állapította meg, hogy a jogerős ítélet a felülvizsgálati kérelemben megjelölt, érdemben vizsgálható okból nem jogszabálysértő, ezért azt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(1) bekezdése alapján hatályában fenntartotta.</w:t>
      </w:r>
    </w:p>
    <w:p>
      <w:pPr>
        <w:jc w:val="both"/>
      </w:pPr>
      <w:r>
        <w:rPr>
          <w:b/>
          <w:vertAlign w:val="baseline"/>
        </w:rPr>
        <w:t xml:space="preserve">Az alkalmazott jogszabályok és az alkalmazott joggyakorlat</w:t>
      </w:r>
    </w:p>
    <w:p>
      <w:pPr>
        <w:jc w:val="both"/>
      </w:pPr>
      <w:r>
        <w:rPr>
          <w:vertAlign w:val="baseline"/>
        </w:rPr>
        <w:t xml:space="preserve">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413. § (1) bekezdés, 423. § (1) bekezdés, 237. § (3)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-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</w:t>
      </w:r>
    </w:p>
    <w:p>
      <w:pPr>
        <w:jc w:val="both"/>
      </w:pPr>
      <w:r>
        <w:rPr>
          <w:vertAlign w:val="baseline"/>
        </w:rPr>
        <w:t xml:space="preserve">2011. évi </w:t>
      </w:r>
      <w:r>
        <w:rPr>
          <w:vertAlign w:val="baseline"/>
        </w:rPr>
        <w:t xml:space="preserve">CXLI.</w:t>
      </w:r>
      <w:r>
        <w:rPr>
          <w:vertAlign w:val="baseline"/>
        </w:rPr>
        <w:t xml:space="preserve"> törvény 2. § (1) bekezdés, 13. § (1) bekezdés</w:t>
      </w:r>
    </w:p>
    <w:p>
      <w:pPr>
        <w:jc w:val="both"/>
      </w:pPr>
      <w:r>
        <w:rPr>
          <w:vertAlign w:val="baseline"/>
        </w:rPr>
        <w:t xml:space="preserve">2013. évi V. törvény 6:8. §, 6:86. §</w:t>
      </w:r>
    </w:p>
    <w:p>
      <w:pPr>
        <w:jc w:val="both"/>
      </w:pPr>
      <w:r>
        <w:rPr>
          <w:vertAlign w:val="baseline"/>
        </w:rPr>
        <w:t xml:space="preserve">1/2016</w:t>
      </w:r>
      <w:r>
        <w:rPr>
          <w:vertAlign w:val="baseline"/>
        </w:rPr>
        <w:t xml:space="preserve">. (II. 15.)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3., 4. pont, </w:t>
      </w:r>
      <w:r>
        <w:rPr>
          <w:vertAlign w:val="baseline"/>
        </w:rPr>
        <w:t xml:space="preserve">1/2017</w:t>
      </w:r>
      <w:r>
        <w:rPr>
          <w:vertAlign w:val="baseline"/>
        </w:rPr>
        <w:t xml:space="preserve">. Polgári jogegységi határozat</w:t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both"/>
      </w:pPr>
      <w:r>
        <w:rPr>
          <w:vertAlign w:val="baseline"/>
        </w:rPr>
        <w:t xml:space="preserve">A felülvizsgálati kérelem egymással szorosan összefüggő kötelező tartalmi kellékei a jogszabálysértés és a megsértett jogszabályhely megjelölése, valamint annak kifejtése, hogy a fél a határozat megváltoztatását milyen okból kívánja. Ezen együttes törvényi feltételeknek a fél akkor tesz eleget, ha egyrészt a megsértett jogszabályhelyet konkrétan megjelöli, másrészt a hivatkozott jogszabálysértést tartalmilag is körülírja, az arra vonatkozó jogi álláspontját kifejti, vagyis, ha a jogszabálysértésre való hivatkozása indokait is ismerteti.</w:t>
      </w:r>
    </w:p>
    <w:p>
      <w:pPr>
        <w:jc w:val="both"/>
      </w:pPr>
      <w:r>
        <w:rPr>
          <w:vertAlign w:val="baseline"/>
        </w:rPr>
        <w:t xml:space="preserve">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§-a jogszabályok értelmezésére vonatkozó rendelkezés. A szerződés értelmezését a </w:t>
      </w:r>
      <w:r>
        <w:rPr>
          <w:vertAlign w:val="baseline"/>
        </w:rPr>
        <w:t xml:space="preserve">Ptk</w:t>
      </w:r>
      <w:r>
        <w:rPr>
          <w:vertAlign w:val="baseline"/>
        </w:rPr>
        <w:t xml:space="preserve"> 6:8. §-a, valamint 6:86. §-a szabályozza. </w:t>
      </w:r>
    </w:p>
    <w:p>
      <w:pPr>
        <w:jc w:val="both"/>
      </w:pPr>
      <w:r>
        <w:rPr>
          <w:vertAlign w:val="baseline"/>
        </w:rPr>
        <w:t xml:space="preserve">A szerződés értelmezése a perben nem mérlegelés, hanem jogszabályértelmezés és alkalmazás eredménye. 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 nem vezetett eredményre, ezért a felperes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83. § (1) bekezdése alapján köteles az alperes ügyvédi képviselettel felmerült felülvizsgálati eljárási költségét megtéríteni.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alperest képviselő ügyvéd munkadíját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pontja, (5) bekezdése és a 4/A. § (1) bekezdése szerint állapította meg.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kérelmet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376. § (1)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pontja alapján tárgyaláson bírálta el.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ítélet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április 14.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Bartal Géza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Magosi Szilvia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Puskás Péter</w:t>
      </w:r>
      <w:r>
        <w:rPr>
          <w:vertAlign w:val="baseline"/>
        </w:rPr>
        <w:t xml:space="preserve"> s.k. bíró</w:t>
      </w:r>
      <w:r>
        <w:rPr>
          <w:vertAlign w:val="baseline"/>
        </w:rPr>
        <w:t xml:space="preserve">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V.Pfv.20.917/2021/8/2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