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center"/>
      </w:pPr>
      <w:r>
        <w:rPr>
          <w:b/>
          <w:vertAlign w:val="baseline"/>
        </w:rPr>
        <w:t xml:space="preserve"> </w:t>
      </w:r>
      <w:r>
        <w:rPr>
          <w:b/>
          <w:vertAlign w:val="baseline"/>
        </w:rPr>
        <w:t xml:space="preserve">Kúria</w:t>
      </w:r>
    </w:p>
    <w:p>
      <w:pPr>
        <w:jc w:val="center"/>
      </w:pPr>
      <w:r>
        <w:rPr>
          <w:b/>
          <w:vertAlign w:val="baseline"/>
        </w:rPr>
        <w:t xml:space="preserve">végzése</w:t>
      </w:r>
    </w:p>
    <w:p>
      <w:pPr>
        <w:jc w:val="left"/>
      </w:pPr>
      <w:r>
        <w:rPr>
          <w:vertAlign w:val="baseline"/>
        </w:rPr>
        <w:t xml:space="preserve"> </w:t>
      </w:r>
      <w:r>
        <w:br/>
      </w:r>
    </w:p>
    <w:p>
      <w:pPr>
        <w:jc w:val="left"/>
      </w:pPr>
      <w:r>
        <w:rPr>
          <w:b/>
          <w:vertAlign w:val="baseline"/>
        </w:rPr>
        <w:t xml:space="preserve">Az ügy száma:</w:t>
      </w:r>
      <w:r>
        <w:rPr>
          <w:b/>
          <w:vertAlign w:val="baseline"/>
        </w:rPr>
        <w:t xml:space="preserve">           </w:t>
      </w:r>
      <w:r>
        <w:rPr>
          <w:b/>
          <w:vertAlign w:val="baseline"/>
        </w:rPr>
        <w:t xml:space="preserve">            </w:t>
      </w:r>
      <w:r>
        <w:rPr>
          <w:vertAlign w:val="baseline"/>
        </w:rPr>
        <w:t xml:space="preserve">Bfv.II.1.238/2021/7</w:t>
      </w:r>
      <w:r>
        <w:rPr>
          <w:vertAlign w:val="baseline"/>
        </w:rPr>
        <w:t xml:space="preserve">.</w:t>
      </w:r>
      <w:r>
        <w:rPr>
          <w:vertAlign w:val="baseline"/>
        </w:rPr>
        <w:t xml:space="preserve">  </w:t>
      </w:r>
    </w:p>
    <w:p>
      <w:pPr>
        <w:jc w:val="left"/>
      </w:pPr>
      <w:r>
        <w:rPr>
          <w:b/>
          <w:vertAlign w:val="baseline"/>
        </w:rPr>
        <w:t xml:space="preserve">A határozat szintje:</w:t>
      </w:r>
      <w:r>
        <w:rPr>
          <w:b/>
          <w:vertAlign w:val="baseline"/>
        </w:rPr>
        <w:t xml:space="preserve">   </w:t>
      </w:r>
      <w:r>
        <w:rPr>
          <w:b/>
          <w:vertAlign w:val="baseline"/>
        </w:rPr>
        <w:t xml:space="preserve">            </w:t>
      </w:r>
      <w:r>
        <w:rPr>
          <w:vertAlign w:val="baseline"/>
        </w:rPr>
        <w:t xml:space="preserve">felülvizsgálat</w:t>
      </w:r>
      <w:r>
        <w:rPr>
          <w:vertAlign w:val="baseline"/>
        </w:rPr>
        <w:t xml:space="preserve">  </w:t>
      </w:r>
    </w:p>
    <w:p>
      <w:pPr>
        <w:jc w:val="left"/>
      </w:pPr>
      <w:r>
        <w:rPr>
          <w:b/>
          <w:vertAlign w:val="baseline"/>
        </w:rPr>
        <w:t xml:space="preserve">A tanács tagjai:</w:t>
      </w:r>
      <w:r>
        <w:rPr>
          <w:b/>
          <w:vertAlign w:val="baseline"/>
        </w:rPr>
        <w:t xml:space="preserve">         </w:t>
      </w:r>
      <w:r>
        <w:rPr>
          <w:b/>
          <w:vertAlign w:val="baseline"/>
        </w:rPr>
        <w:t xml:space="preserve">            </w:t>
      </w:r>
      <w:r>
        <w:rPr>
          <w:vertAlign w:val="baseline"/>
        </w:rPr>
        <w:t xml:space="preserve">Dr. Harangozó Attila</w:t>
      </w:r>
      <w:r>
        <w:rPr>
          <w:vertAlign w:val="baseline"/>
        </w:rPr>
        <w:t xml:space="preserve">, a tanács elnöke</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Demeter Zsuzsanna</w:t>
      </w:r>
      <w:r>
        <w:rPr>
          <w:vertAlign w:val="baseline"/>
        </w:rPr>
        <w:t xml:space="preserve">, előadó bíró</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Somogyi Gábor</w:t>
      </w:r>
      <w:r>
        <w:rPr>
          <w:vertAlign w:val="baseline"/>
        </w:rPr>
        <w:t xml:space="preserve">, bíró</w:t>
      </w:r>
      <w:r>
        <w:rPr>
          <w:vertAlign w:val="baseline"/>
        </w:rPr>
        <w:t xml:space="preserve">  </w:t>
      </w:r>
    </w:p>
    <w:p>
      <w:pPr>
        <w:jc w:val="left"/>
      </w:pPr>
      <w:r>
        <w:rPr>
          <w:b/>
          <w:vertAlign w:val="baseline"/>
        </w:rPr>
        <w:t xml:space="preserve">Az eljárás helye:</w:t>
      </w:r>
      <w:r>
        <w:rPr>
          <w:b/>
          <w:vertAlign w:val="baseline"/>
        </w:rPr>
        <w:t xml:space="preserve">       </w:t>
      </w:r>
      <w:r>
        <w:rPr>
          <w:b/>
          <w:vertAlign w:val="baseline"/>
        </w:rPr>
        <w:t xml:space="preserve">            </w:t>
      </w:r>
      <w:r>
        <w:rPr>
          <w:vertAlign w:val="baseline"/>
        </w:rPr>
        <w:t xml:space="preserve">Budapest</w:t>
      </w:r>
      <w:r>
        <w:rPr>
          <w:vertAlign w:val="baseline"/>
        </w:rPr>
        <w:t xml:space="preserve">  </w:t>
      </w:r>
    </w:p>
    <w:p>
      <w:pPr>
        <w:jc w:val="left"/>
      </w:pPr>
      <w:r>
        <w:rPr>
          <w:b/>
          <w:vertAlign w:val="baseline"/>
        </w:rPr>
        <w:t xml:space="preserve">Az eljárás formája:</w:t>
      </w:r>
      <w:r>
        <w:rPr>
          <w:b/>
          <w:vertAlign w:val="baseline"/>
        </w:rPr>
        <w:t xml:space="preserve">   </w:t>
      </w:r>
      <w:r>
        <w:rPr>
          <w:b/>
          <w:vertAlign w:val="baseline"/>
        </w:rPr>
        <w:t xml:space="preserve">            </w:t>
      </w:r>
      <w:r>
        <w:rPr>
          <w:vertAlign w:val="baseline"/>
        </w:rPr>
        <w:t xml:space="preserve">tanácsülés</w:t>
      </w:r>
      <w:r>
        <w:rPr>
          <w:vertAlign w:val="baseline"/>
        </w:rPr>
        <w:t xml:space="preserve">  </w:t>
      </w:r>
    </w:p>
    <w:p>
      <w:pPr>
        <w:jc w:val="left"/>
      </w:pPr>
      <w:r>
        <w:rPr>
          <w:b/>
          <w:vertAlign w:val="baseline"/>
        </w:rPr>
        <w:t xml:space="preserve">Az ülés napja:</w:t>
      </w:r>
      <w:r>
        <w:rPr>
          <w:b/>
          <w:vertAlign w:val="baseline"/>
        </w:rPr>
        <w:t xml:space="preserve">           </w:t>
      </w:r>
      <w:r>
        <w:rPr>
          <w:b/>
          <w:vertAlign w:val="baseline"/>
        </w:rPr>
        <w:t xml:space="preserve">            </w:t>
      </w:r>
      <w:r>
        <w:rPr>
          <w:vertAlign w:val="baseline"/>
        </w:rPr>
        <w:t xml:space="preserve">2022. szeptember 8.</w:t>
      </w:r>
      <w:r>
        <w:rPr>
          <w:vertAlign w:val="baseline"/>
        </w:rPr>
        <w:t xml:space="preserve">  </w:t>
      </w:r>
    </w:p>
    <w:p>
      <w:pPr>
        <w:jc w:val="left"/>
      </w:pPr>
      <w:r>
        <w:rPr>
          <w:b/>
          <w:vertAlign w:val="baseline"/>
        </w:rPr>
        <w:t xml:space="preserve">Az ügy tárgya:</w:t>
      </w:r>
      <w:r>
        <w:rPr>
          <w:b/>
          <w:vertAlign w:val="baseline"/>
        </w:rPr>
        <w:t xml:space="preserve">          </w:t>
      </w:r>
      <w:r>
        <w:rPr>
          <w:b/>
          <w:vertAlign w:val="baseline"/>
        </w:rPr>
        <w:t xml:space="preserve">            </w:t>
      </w:r>
      <w:r>
        <w:rPr>
          <w:vertAlign w:val="baseline"/>
        </w:rPr>
        <w:t xml:space="preserve">közúti baleset okozásának vétsége </w:t>
      </w:r>
      <w:r>
        <w:rPr>
          <w:vertAlign w:val="baseline"/>
        </w:rPr>
        <w:t xml:space="preserve">  </w:t>
      </w:r>
    </w:p>
    <w:p>
      <w:pPr>
        <w:jc w:val="left"/>
      </w:pPr>
      <w:r>
        <w:rPr>
          <w:b/>
          <w:vertAlign w:val="baseline"/>
        </w:rPr>
        <w:t xml:space="preserve">Terhelt (ek):</w:t>
      </w:r>
      <w:r>
        <w:rPr>
          <w:b/>
          <w:vertAlign w:val="baseline"/>
        </w:rPr>
        <w:t xml:space="preserve">               </w:t>
      </w:r>
      <w:r>
        <w:rPr>
          <w:b/>
          <w:vertAlign w:val="baseline"/>
        </w:rPr>
        <w:t xml:space="preserve">            </w:t>
      </w:r>
      <w:r>
        <w:rPr>
          <w:vertAlign w:val="baseline"/>
        </w:rPr>
        <w:t xml:space="preserve">…</w:t>
      </w:r>
      <w:r>
        <w:rPr>
          <w:vertAlign w:val="baseline"/>
        </w:rPr>
        <w:t xml:space="preserve">  </w:t>
      </w:r>
    </w:p>
    <w:p>
      <w:pPr>
        <w:jc w:val="left"/>
      </w:pPr>
      <w:r>
        <w:rPr>
          <w:b/>
          <w:vertAlign w:val="baseline"/>
        </w:rPr>
        <w:t xml:space="preserve">Első fok:</w:t>
      </w:r>
      <w:r>
        <w:rPr>
          <w:b/>
          <w:vertAlign w:val="baseline"/>
        </w:rPr>
        <w:t xml:space="preserve">                     </w:t>
      </w:r>
      <w:r>
        <w:rPr>
          <w:b/>
          <w:vertAlign w:val="baseline"/>
        </w:rPr>
        <w:t xml:space="preserve">            </w:t>
      </w:r>
      <w:r>
        <w:rPr>
          <w:vertAlign w:val="baseline"/>
        </w:rPr>
        <w:t xml:space="preserve">Kunszentmártoni Járásbíróság,</w:t>
      </w:r>
      <w:r>
        <w:rPr>
          <w:vertAlign w:val="baseline"/>
        </w:rPr>
        <w:t xml:space="preserve"> </w:t>
      </w:r>
      <w:r>
        <w:rPr>
          <w:vertAlign w:val="baseline"/>
        </w:rPr>
        <w:t xml:space="preserve">5.B.24/2019/62</w:t>
      </w:r>
      <w:r>
        <w:rPr>
          <w:vertAlign w:val="baseline"/>
        </w:rPr>
        <w:t xml:space="preserve">., </w:t>
      </w:r>
      <w:r>
        <w:rPr>
          <w:vertAlign w:val="baseline"/>
        </w:rPr>
        <w:t xml:space="preserve">ítélet, tárgyalás,</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2020. október 9.</w:t>
      </w:r>
      <w:r>
        <w:rPr>
          <w:vertAlign w:val="baseline"/>
        </w:rPr>
        <w:t xml:space="preserve">    </w:t>
      </w:r>
    </w:p>
    <w:p>
      <w:pPr>
        <w:jc w:val="both"/>
      </w:pPr>
      <w:r>
        <w:rPr>
          <w:b/>
          <w:vertAlign w:val="baseline"/>
        </w:rPr>
        <w:t xml:space="preserve">Másodfok:</w:t>
      </w:r>
      <w:r>
        <w:rPr>
          <w:b/>
          <w:vertAlign w:val="baseline"/>
        </w:rPr>
        <w:t xml:space="preserve">                </w:t>
      </w:r>
      <w:r>
        <w:rPr>
          <w:b/>
          <w:vertAlign w:val="baseline"/>
        </w:rPr>
        <w:t xml:space="preserve"> </w:t>
      </w:r>
      <w:r>
        <w:rPr>
          <w:b/>
          <w:vertAlign w:val="baseline"/>
        </w:rPr>
        <w:t xml:space="preserve">            </w:t>
      </w:r>
      <w:r>
        <w:rPr>
          <w:vertAlign w:val="baseline"/>
        </w:rPr>
        <w:t xml:space="preserve">Szolnoki Törvényszék,</w:t>
      </w:r>
      <w:r>
        <w:rPr>
          <w:vertAlign w:val="baseline"/>
        </w:rPr>
        <w:t xml:space="preserve"> </w:t>
      </w:r>
      <w:r>
        <w:rPr>
          <w:vertAlign w:val="baseline"/>
        </w:rPr>
        <w:t xml:space="preserve">1.Bf.88/2021/7</w:t>
      </w:r>
      <w:r>
        <w:rPr>
          <w:vertAlign w:val="baseline"/>
        </w:rPr>
        <w:t xml:space="preserve">., végzés, nyilvános ülés, 2021. május 19. </w:t>
      </w:r>
      <w:r>
        <w:rPr>
          <w:vertAlign w:val="baseline"/>
        </w:rPr>
        <w:t xml:space="preserve">  </w:t>
      </w:r>
    </w:p>
    <w:p>
      <w:pPr>
        <w:jc w:val="both"/>
      </w:pPr>
      <w:r>
        <w:rPr>
          <w:b/>
          <w:vertAlign w:val="baseline"/>
        </w:rPr>
        <w:t xml:space="preserve">Az indítvány előterjesztője:</w:t>
      </w:r>
      <w:r>
        <w:rPr>
          <w:b/>
          <w:vertAlign w:val="baseline"/>
        </w:rPr>
        <w:t xml:space="preserve"> </w:t>
      </w:r>
      <w:r>
        <w:rPr>
          <w:vertAlign w:val="baseline"/>
        </w:rPr>
        <w:t xml:space="preserve">a terhelt védője</w:t>
      </w:r>
      <w:r>
        <w:rPr>
          <w:vertAlign w:val="baseline"/>
        </w:rPr>
        <w:t xml:space="preserve">  </w:t>
      </w:r>
    </w:p>
    <w:p>
      <w:pPr>
        <w:jc w:val="both"/>
      </w:pPr>
      <w:r>
        <w:rPr>
          <w:b/>
          <w:vertAlign w:val="baseline"/>
        </w:rPr>
        <w:t xml:space="preserve">Az indítvány iránya: </w:t>
      </w:r>
      <w:r>
        <w:rPr>
          <w:b/>
          <w:vertAlign w:val="baseline"/>
        </w:rPr>
        <w:t xml:space="preserve">          </w:t>
      </w:r>
      <w:r>
        <w:rPr>
          <w:b/>
          <w:vertAlign w:val="baseline"/>
        </w:rPr>
        <w:t xml:space="preserve"> </w:t>
      </w:r>
      <w:r>
        <w:rPr>
          <w:vertAlign w:val="baseline"/>
        </w:rPr>
        <w:t xml:space="preserve">a terhelt javára</w:t>
      </w:r>
    </w:p>
    <w:p>
      <w:pPr>
        <w:jc w:val="left"/>
      </w:pPr>
      <w:r>
        <w:rPr>
          <w:vertAlign w:val="baseline"/>
        </w:rPr>
        <w:t xml:space="preserve"> </w:t>
      </w:r>
      <w:r>
        <w:br/>
      </w:r>
    </w:p>
    <w:p>
      <w:pPr>
        <w:jc w:val="both"/>
      </w:pPr>
      <w:r>
        <w:rPr>
          <w:b/>
          <w:vertAlign w:val="baseline"/>
        </w:rPr>
        <w:t xml:space="preserve">Rendelkező rész </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közúti baleset okozásának vétsége miatt a terhelt ellen folyamatban volt büntetőügyben a terhelt védője által benyújtott felülvizsgálati indítványt elbírálva a </w:t>
      </w:r>
      <w:r>
        <w:rPr>
          <w:vertAlign w:val="baseline"/>
        </w:rPr>
        <w:t xml:space="preserve">Kunszentmártoni Járásbíróság</w:t>
      </w:r>
      <w:r>
        <w:rPr>
          <w:vertAlign w:val="baseline"/>
        </w:rPr>
        <w:t xml:space="preserve"> </w:t>
      </w:r>
      <w:r>
        <w:rPr>
          <w:vertAlign w:val="baseline"/>
        </w:rPr>
        <w:t xml:space="preserve">5.B.24/2019/62</w:t>
      </w:r>
      <w:r>
        <w:rPr>
          <w:vertAlign w:val="baseline"/>
        </w:rPr>
        <w:t xml:space="preserve">. számú ítéletét, illetve a </w:t>
      </w:r>
      <w:r>
        <w:rPr>
          <w:vertAlign w:val="baseline"/>
        </w:rPr>
        <w:t xml:space="preserve">Szolnoki Törvényszék</w:t>
      </w:r>
      <w:r>
        <w:rPr>
          <w:vertAlign w:val="baseline"/>
        </w:rPr>
        <w:t xml:space="preserve"> mint másodfokú bíróság </w:t>
      </w:r>
      <w:r>
        <w:rPr>
          <w:vertAlign w:val="baseline"/>
        </w:rPr>
        <w:t xml:space="preserve">1.Bf.88/2021/7</w:t>
      </w:r>
      <w:r>
        <w:rPr>
          <w:vertAlign w:val="baseline"/>
        </w:rPr>
        <w:t xml:space="preserve">. számú végzését</w:t>
      </w:r>
      <w:r>
        <w:rPr>
          <w:vertAlign w:val="baseline"/>
        </w:rPr>
        <w:t xml:space="preserve"> hatályában fenntartja.</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végzése ellen fellebbezésnek vagy felülvizsgálatnak nincs helye, és ebben az ügyben az indítvány előterjesztője, valamint azonos tartalommal más jogosult újabb felülvizsgálati indítványt nem nyújthatnak be.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 1. A </w:t>
      </w:r>
      <w:r>
        <w:rPr>
          <w:vertAlign w:val="baseline"/>
        </w:rPr>
        <w:t xml:space="preserve">Kunszentmártoni Járásbíróság</w:t>
      </w:r>
      <w:r>
        <w:rPr>
          <w:vertAlign w:val="baseline"/>
        </w:rPr>
        <w:t xml:space="preserve"> a 2020. október 9. napján kihirdetett </w:t>
      </w:r>
      <w:r>
        <w:rPr>
          <w:vertAlign w:val="baseline"/>
        </w:rPr>
        <w:t xml:space="preserve">5.B.24/2019/62</w:t>
      </w:r>
      <w:r>
        <w:rPr>
          <w:vertAlign w:val="baseline"/>
        </w:rPr>
        <w:t xml:space="preserve">. számú ítéletével a terheltet bűnösnek mondta ki közúti baleset okozásának vétségében [Btk. 235. § (1) bekezdés, (2) bekezdés b) pont], ezért 2 év 6 hónap szabadságvesztésre és 3 év közúti járművezetéstől eltiltásra ítélte. A szabadságvesztés végrehajtási fokozatát fogházban, a feltételes szabadságra bocsátás legkorábbi időpontját a szabadságvesztés kétharmad részének kitöltést követő napban határozta meg.</w:t>
      </w:r>
    </w:p>
    <w:p>
      <w:pPr>
        <w:jc w:val="both"/>
      </w:pPr>
      <w:r>
        <w:rPr>
          <w:vertAlign w:val="baseline"/>
        </w:rPr>
        <w:t xml:space="preserve">[2]</w:t>
      </w:r>
      <w:r>
        <w:rPr>
          <w:vertAlign w:val="baseline"/>
        </w:rPr>
        <w:t xml:space="preserve">              </w:t>
      </w:r>
      <w:r>
        <w:rPr>
          <w:vertAlign w:val="baseline"/>
        </w:rPr>
        <w:t xml:space="preserve">A terhelt és védője fellebbezése folytán eljárt </w:t>
      </w:r>
      <w:r>
        <w:rPr>
          <w:vertAlign w:val="baseline"/>
        </w:rPr>
        <w:t xml:space="preserve">Szolnoki Törvényszék</w:t>
      </w:r>
      <w:r>
        <w:rPr>
          <w:vertAlign w:val="baseline"/>
        </w:rPr>
        <w:t xml:space="preserve"> mint másodfokú bíróság a 2021. május 19. napján kihirdetett </w:t>
      </w:r>
      <w:r>
        <w:rPr>
          <w:vertAlign w:val="baseline"/>
        </w:rPr>
        <w:t xml:space="preserve">1.Bf.88/2021/7</w:t>
      </w:r>
      <w:r>
        <w:rPr>
          <w:vertAlign w:val="baseline"/>
        </w:rPr>
        <w:t xml:space="preserve">. számú végzésével</w:t>
      </w:r>
      <w:r>
        <w:rPr>
          <w:vertAlign w:val="baseline"/>
        </w:rPr>
        <w:t xml:space="preserve"> az elsőfokú bíróság ítéletét helybenhagyta.</w:t>
      </w:r>
    </w:p>
    <w:p>
      <w:pPr>
        <w:jc w:val="both"/>
      </w:pPr>
      <w:r>
        <w:rPr>
          <w:vertAlign w:val="baseline"/>
        </w:rPr>
        <w:t xml:space="preserve">[3]</w:t>
      </w:r>
      <w:r>
        <w:rPr>
          <w:vertAlign w:val="baseline"/>
        </w:rPr>
        <w:t xml:space="preserve">              </w:t>
      </w:r>
      <w:r>
        <w:rPr>
          <w:vertAlign w:val="baseline"/>
        </w:rPr>
        <w:t xml:space="preserve">2. Az elsőfokú bíróság által megállapított </w:t>
      </w:r>
      <w:r>
        <w:rPr>
          <w:vertAlign w:val="baseline"/>
        </w:rPr>
        <w:t xml:space="preserve">{</w:t>
      </w:r>
      <w:r>
        <w:rPr>
          <w:vertAlign w:val="baseline"/>
        </w:rPr>
        <w:t xml:space="preserve">Kunszentmártoni </w:t>
      </w:r>
      <w:r>
        <w:rPr>
          <w:vertAlign w:val="baseline"/>
        </w:rPr>
        <w:t xml:space="preserve">Járásbíróság</w:t>
      </w:r>
      <w:r>
        <w:rPr>
          <w:vertAlign w:val="baseline"/>
        </w:rPr>
        <w:t xml:space="preserve"> </w:t>
      </w:r>
      <w:r>
        <w:rPr>
          <w:vertAlign w:val="baseline"/>
        </w:rPr>
        <w:t xml:space="preserve">5.B.24/2019/62</w:t>
      </w:r>
      <w:r>
        <w:rPr>
          <w:vertAlign w:val="baseline"/>
        </w:rPr>
        <w:t xml:space="preserve">. számú ítélete [10] bekezdésétől a [20] bekezdésével bezáródó része</w:t>
      </w:r>
      <w:r>
        <w:rPr>
          <w:vertAlign w:val="baseline"/>
        </w:rPr>
        <w:t xml:space="preserve">}, </w:t>
      </w:r>
      <w:r>
        <w:rPr>
          <w:vertAlign w:val="baseline"/>
        </w:rPr>
        <w:t xml:space="preserve">majd a másodfokú bíróság által részben kiegészített és pontosított </w:t>
      </w:r>
      <w:r>
        <w:rPr>
          <w:vertAlign w:val="baseline"/>
        </w:rPr>
        <w:t xml:space="preserve">{</w:t>
      </w:r>
      <w:r>
        <w:rPr>
          <w:vertAlign w:val="baseline"/>
        </w:rPr>
        <w:t xml:space="preserve">Szolnoki </w:t>
      </w:r>
      <w:r>
        <w:rPr>
          <w:vertAlign w:val="baseline"/>
        </w:rPr>
        <w:t xml:space="preserve">Törvényszék</w:t>
      </w:r>
      <w:r>
        <w:rPr>
          <w:vertAlign w:val="baseline"/>
        </w:rPr>
        <w:t xml:space="preserve"> </w:t>
      </w:r>
      <w:r>
        <w:rPr>
          <w:vertAlign w:val="baseline"/>
        </w:rPr>
        <w:t xml:space="preserve">1.Bf.88/2021/7</w:t>
      </w:r>
      <w:r>
        <w:rPr>
          <w:vertAlign w:val="baseline"/>
        </w:rPr>
        <w:t xml:space="preserve">. számú végzés [10]-[11] bekezdés</w:t>
      </w:r>
      <w:r>
        <w:rPr>
          <w:vertAlign w:val="baseline"/>
        </w:rPr>
        <w:t xml:space="preserve">}, </w:t>
      </w:r>
      <w:r>
        <w:rPr>
          <w:vertAlign w:val="baseline"/>
        </w:rPr>
        <w:t xml:space="preserve">jogerős ítéletben megállapított tényállás lényege szerint a terhelt 2017. december 4. napján 10 óra 30 perc körüli időben város 1 lakott területén kívül, a főúton közlekedett – biztonsági övet használva – város 2 felől város 1 irányába az általa vezetett </w:t>
      </w:r>
      <w:r>
        <w:rPr>
          <w:vertAlign w:val="baseline"/>
        </w:rPr>
        <w:t xml:space="preserve">Toyota</w:t>
      </w:r>
      <w:r>
        <w:rPr>
          <w:vertAlign w:val="baseline"/>
        </w:rPr>
        <w:t xml:space="preserve"> gyártmányú </w:t>
      </w:r>
      <w:r>
        <w:rPr>
          <w:vertAlign w:val="baseline"/>
        </w:rPr>
        <w:t xml:space="preserve">Hilux</w:t>
      </w:r>
      <w:r>
        <w:rPr>
          <w:vertAlign w:val="baseline"/>
        </w:rPr>
        <w:t xml:space="preserve"> típusú tehergépkocsival, borult időben, nappali jó látási viszonyok között, száraz, hibátlan aszfaltburkolatú, útburkolati jellel ellátott, kétirányú osztatlan úton, a menetirány szerinti jobb oldali forgalmi sávban. A terhelt haladási irányából 60 km/h sebességkorlátozó jelzőtábla volt kihelyezve. </w:t>
      </w:r>
    </w:p>
    <w:p>
      <w:pPr>
        <w:jc w:val="both"/>
      </w:pPr>
      <w:r>
        <w:rPr>
          <w:vertAlign w:val="baseline"/>
        </w:rPr>
        <w:t xml:space="preserve">[4]</w:t>
      </w:r>
      <w:r>
        <w:rPr>
          <w:vertAlign w:val="baseline"/>
        </w:rPr>
        <w:t xml:space="preserve">              </w:t>
      </w:r>
      <w:r>
        <w:rPr>
          <w:vertAlign w:val="baseline"/>
        </w:rPr>
        <w:t xml:space="preserve">Ugyanezen</w:t>
      </w:r>
      <w:r>
        <w:rPr>
          <w:vertAlign w:val="baseline"/>
        </w:rPr>
        <w:t xml:space="preserve"> időpontban a főúton közlekedett város 1 irányából város 2 irányába sértett 1 az általa vezetett személygépkocsival, mintegy 80-84 km/h sebességgel. A sértett irányából – az ütközés pontjától 100 méterre, a rögzítési ponttól 150 méterre – 40 km/h sebességkorlátozó jelzőtábla volt kihelyezve az építési munkálatokra figyelemmel. A személygépkocsiban a jobb oldali első ülésen utazott néhai sértett 2, a jobb hátsó ülésen néhai sértett 3, valamint a bal hátsó ülésen kiskorú sértett 4. A gépjárműben csak sértett 1 használt biztonsági övet.</w:t>
      </w:r>
    </w:p>
    <w:p>
      <w:pPr>
        <w:jc w:val="both"/>
      </w:pPr>
      <w:r>
        <w:rPr>
          <w:vertAlign w:val="baseline"/>
        </w:rPr>
        <w:t xml:space="preserve">[5]</w:t>
      </w:r>
      <w:r>
        <w:rPr>
          <w:vertAlign w:val="baseline"/>
        </w:rPr>
        <w:t xml:space="preserve">              </w:t>
      </w:r>
      <w:r>
        <w:rPr>
          <w:vertAlign w:val="baseline"/>
        </w:rPr>
        <w:t xml:space="preserve">A terhelt a főúton haladása során balra, a szállító útra szándékozott kanyarodni az útépítési munkaterület felé, ennek során azonban tévesen mérte fel a vele szemben közlekedő, és egyenesen város 1 felől város 2 irányába tovább haladni szándékozó sértett 1 által vezetett személygépkocsi távolságát, és a kanyarodást a sértetti személygépkocsi előtt 22-24 méter távolságban – a megengedett legnagyobb sebességhez képest féktávolságon belül – 17-19 km/h sebességgel megkezdte, aminek következtében a járművek összeütköztek.</w:t>
      </w:r>
      <w:r>
        <w:rPr>
          <w:vertAlign w:val="baseline"/>
        </w:rPr>
        <w:t xml:space="preserve"> </w:t>
      </w:r>
    </w:p>
    <w:p>
      <w:pPr>
        <w:jc w:val="both"/>
      </w:pPr>
      <w:r>
        <w:rPr>
          <w:vertAlign w:val="baseline"/>
        </w:rPr>
        <w:t xml:space="preserve">[6]</w:t>
      </w:r>
      <w:r>
        <w:rPr>
          <w:vertAlign w:val="baseline"/>
        </w:rPr>
        <w:t xml:space="preserve">              </w:t>
      </w:r>
      <w:r>
        <w:rPr>
          <w:vertAlign w:val="baseline"/>
        </w:rPr>
        <w:t xml:space="preserve">A</w:t>
      </w:r>
      <w:r>
        <w:rPr>
          <w:vertAlign w:val="baseline"/>
        </w:rPr>
        <w:t xml:space="preserve">z ütközési pont a sértett haladási sávjában a felezővonaltól 1,3 méterre helyezkedett el, ahol az úttest szélessége 7 méter, haladási sávonként szélessége 3,5 méter, az ütközési pont a terhelt haladási sávjának jobb szélétől 4,8 méterre található.</w:t>
      </w:r>
      <w:r>
        <w:rPr>
          <w:vertAlign w:val="baseline"/>
        </w:rPr>
        <w:t xml:space="preserve"> </w:t>
      </w:r>
      <w:r>
        <w:rPr>
          <w:vertAlign w:val="baseline"/>
        </w:rPr>
        <w:t xml:space="preserve">A sértett által vezetett </w:t>
      </w:r>
      <w:r>
        <w:rPr>
          <w:vertAlign w:val="baseline"/>
        </w:rPr>
        <w:t xml:space="preserve">Opel Astra</w:t>
      </w:r>
      <w:r>
        <w:rPr>
          <w:vertAlign w:val="baseline"/>
        </w:rPr>
        <w:t xml:space="preserve"> típusú személygépkocsi ütközési sebessége 80-84 km/h, tényleges haladási sebességhez tartozó féktávolsága lassító fékezés esetén </w:t>
      </w:r>
      <w:r>
        <w:rPr>
          <w:vertAlign w:val="baseline"/>
        </w:rPr>
        <w:t xml:space="preserve">114,5-117,3</w:t>
      </w:r>
      <w:r>
        <w:rPr>
          <w:vertAlign w:val="baseline"/>
        </w:rPr>
        <w:t xml:space="preserve"> méter, míg vészfékezéssel </w:t>
      </w:r>
      <w:r>
        <w:rPr>
          <w:vertAlign w:val="baseline"/>
        </w:rPr>
        <w:t xml:space="preserve">67,5-68,4</w:t>
      </w:r>
      <w:r>
        <w:rPr>
          <w:vertAlign w:val="baseline"/>
        </w:rPr>
        <w:t xml:space="preserve"> méter.</w:t>
      </w:r>
    </w:p>
    <w:p>
      <w:pPr>
        <w:jc w:val="both"/>
      </w:pPr>
      <w:r>
        <w:rPr>
          <w:vertAlign w:val="baseline"/>
        </w:rPr>
        <w:t xml:space="preserve">[7]</w:t>
      </w:r>
      <w:r>
        <w:rPr>
          <w:vertAlign w:val="baseline"/>
        </w:rPr>
        <w:t xml:space="preserve">              </w:t>
      </w:r>
      <w:r>
        <w:rPr>
          <w:vertAlign w:val="baseline"/>
        </w:rPr>
        <w:t xml:space="preserve">A sértetti </w:t>
      </w:r>
      <w:r>
        <w:rPr>
          <w:vertAlign w:val="baseline"/>
        </w:rPr>
        <w:t xml:space="preserve">Opel Astra</w:t>
      </w:r>
      <w:r>
        <w:rPr>
          <w:vertAlign w:val="baseline"/>
        </w:rPr>
        <w:t xml:space="preserve"> típusú személygépkocsi adott útszakaszon megengedett 40 km/h haladási sebességhez tartozó lassító fékezésének távolsága </w:t>
      </w:r>
      <w:r>
        <w:rPr>
          <w:vertAlign w:val="baseline"/>
        </w:rPr>
        <w:t xml:space="preserve">35,1-,8,1</w:t>
      </w:r>
      <w:r>
        <w:rPr>
          <w:vertAlign w:val="baseline"/>
        </w:rPr>
        <w:t xml:space="preserve"> méter, míg vészfékezés esetén a vészfékezés távolsága </w:t>
      </w:r>
      <w:r>
        <w:rPr>
          <w:vertAlign w:val="baseline"/>
        </w:rPr>
        <w:t xml:space="preserve">22,4-23,9</w:t>
      </w:r>
      <w:r>
        <w:rPr>
          <w:vertAlign w:val="baseline"/>
        </w:rPr>
        <w:t xml:space="preserve"> méter. A terhelti </w:t>
      </w:r>
      <w:r>
        <w:rPr>
          <w:vertAlign w:val="baseline"/>
        </w:rPr>
        <w:t xml:space="preserve">Toyota</w:t>
      </w:r>
      <w:r>
        <w:rPr>
          <w:vertAlign w:val="baseline"/>
        </w:rPr>
        <w:t xml:space="preserve"> típusú tehergépkocsi észlelhető bekanyarodásának pillanatában, amelyhez az út felezővonalát legalább 50 centiméterrel át kellett lépnie, a sértetti gépjármű 20-22 méterre járt a későbbi ütközési ponttól, ami még a megengedett sebesség, a 40 km/h haladási sebességhez tartozó vészfékezés határára esik. </w:t>
      </w:r>
    </w:p>
    <w:p>
      <w:pPr>
        <w:jc w:val="both"/>
      </w:pPr>
      <w:r>
        <w:rPr>
          <w:vertAlign w:val="baseline"/>
        </w:rPr>
        <w:t xml:space="preserve">[8]</w:t>
      </w:r>
      <w:r>
        <w:rPr>
          <w:vertAlign w:val="baseline"/>
        </w:rPr>
        <w:t xml:space="preserve">              </w:t>
      </w:r>
      <w:r>
        <w:rPr>
          <w:vertAlign w:val="baseline"/>
        </w:rPr>
        <w:t xml:space="preserve">Az ütközés pillanatában a </w:t>
      </w:r>
      <w:r>
        <w:rPr>
          <w:vertAlign w:val="baseline"/>
        </w:rPr>
        <w:t xml:space="preserve">Toyota</w:t>
      </w:r>
      <w:r>
        <w:rPr>
          <w:vertAlign w:val="baseline"/>
        </w:rPr>
        <w:t xml:space="preserve"> tehergépkocsi az út tengelyéhez viszonyítottan 32 fokos ütközési szögben állt, az ütközés pillanatában a terhelti tehergépkocsi jobb eleje ütközött össze a sértett által vezetett </w:t>
      </w:r>
      <w:r>
        <w:rPr>
          <w:vertAlign w:val="baseline"/>
        </w:rPr>
        <w:t xml:space="preserve">Opel Astra</w:t>
      </w:r>
      <w:r>
        <w:rPr>
          <w:vertAlign w:val="baseline"/>
        </w:rPr>
        <w:t xml:space="preserve"> típusú személygépkocsi bal elejével. </w:t>
      </w:r>
    </w:p>
    <w:p>
      <w:pPr>
        <w:jc w:val="both"/>
      </w:pPr>
      <w:r>
        <w:rPr>
          <w:vertAlign w:val="baseline"/>
        </w:rPr>
        <w:t xml:space="preserve">[9]</w:t>
      </w:r>
      <w:r>
        <w:rPr>
          <w:vertAlign w:val="baseline"/>
        </w:rPr>
        <w:t xml:space="preserve">              </w:t>
      </w:r>
      <w:r>
        <w:rPr>
          <w:vertAlign w:val="baseline"/>
        </w:rPr>
        <w:t xml:space="preserve">A baleset következtében sértett 1 és kiskorú sértett 4 nyolc napon túl gyógyuló sérüléseket szenvedtek, egyes sérüléseik maradandó testi fogyatékosságot eredményeztek, néhai sértett 2 a helyszínen életét vesztette, néhai sértett 3 a baleset napján kórházban elhalálozott.</w:t>
      </w:r>
      <w:r>
        <w:rPr>
          <w:vertAlign w:val="baseline"/>
        </w:rPr>
        <w:t xml:space="preserve"> </w:t>
      </w:r>
      <w:r>
        <w:rPr>
          <w:vertAlign w:val="baseline"/>
        </w:rPr>
        <w:t xml:space="preserve">Az elszenvedett sérülések és a néhai sértettek halálának beállta között a közvetlen ok-okozati összefüggés fennáll. A terhelt nyolc napon belül gyógyuló, könnyű sérülést szenvedett el.</w:t>
      </w:r>
    </w:p>
    <w:p>
      <w:pPr>
        <w:jc w:val="both"/>
      </w:pPr>
      <w:r>
        <w:rPr>
          <w:vertAlign w:val="baseline"/>
        </w:rPr>
        <w:t xml:space="preserve">[10]</w:t>
      </w:r>
      <w:r>
        <w:rPr>
          <w:vertAlign w:val="baseline"/>
        </w:rPr>
        <w:t xml:space="preserve">          </w:t>
      </w:r>
      <w:r>
        <w:rPr>
          <w:vertAlign w:val="baseline"/>
        </w:rPr>
        <w:t xml:space="preserve">Néhai</w:t>
      </w:r>
      <w:r>
        <w:rPr>
          <w:vertAlign w:val="baseline"/>
        </w:rPr>
        <w:t xml:space="preserve"> sértett 2 esetében a biztonsági öv rendeltetésszerű használata életét megmenthette volna, kiskorú sértett 4 rendeltetésszerű övhasználata a csonttraumával járó sérüléseket minimalizálhatta volna. Néhai sértett 3 vonatkozásában a biztonsági öv rendeltetésszerű használata esetén a főverőér mellkasi szakasz kezdetének, az érfal összességét érintő körkörös jellegű folytonosságmegszakadása és a májrepedés sérülés igen nagy valószínűséggel nem alakult volna ki. A további sérülések azonban rendeltetésszerűen alkalmazott biztonsági öv használata mellett is bekövetkezhettek volna. </w:t>
      </w:r>
    </w:p>
    <w:p>
      <w:pPr>
        <w:jc w:val="both"/>
      </w:pPr>
      <w:r>
        <w:rPr>
          <w:vertAlign w:val="baseline"/>
        </w:rPr>
        <w:t xml:space="preserve">[11]</w:t>
      </w:r>
      <w:r>
        <w:rPr>
          <w:vertAlign w:val="baseline"/>
        </w:rPr>
        <w:t xml:space="preserve">          </w:t>
      </w:r>
      <w:r>
        <w:rPr>
          <w:vertAlign w:val="baseline"/>
        </w:rPr>
        <w:t xml:space="preserve">Sértett</w:t>
      </w:r>
      <w:r>
        <w:rPr>
          <w:vertAlign w:val="baseline"/>
        </w:rPr>
        <w:t xml:space="preserve"> 1 sebességtúllépése nem állt okozati összefüggésben a baleset bekövetkezésével.</w:t>
      </w:r>
    </w:p>
    <w:p>
      <w:pPr>
        <w:jc w:val="both"/>
      </w:pPr>
      <w:r>
        <w:rPr>
          <w:vertAlign w:val="baseline"/>
        </w:rPr>
        <w:t xml:space="preserve">[12]</w:t>
      </w:r>
      <w:r>
        <w:rPr>
          <w:vertAlign w:val="baseline"/>
        </w:rPr>
        <w:t xml:space="preserve">          </w:t>
      </w:r>
      <w:r>
        <w:rPr>
          <w:b/>
          <w:vertAlign w:val="baseline"/>
        </w:rPr>
        <w:t xml:space="preserve">II.</w:t>
      </w:r>
      <w:r>
        <w:rPr>
          <w:vertAlign w:val="baseline"/>
        </w:rPr>
        <w:t xml:space="preserve"> 1. A bíróság jogerős ügydöntő határozata ellen a terhelt védője felülvizsgálati indítványt terjesztett elő a </w:t>
      </w:r>
      <w:r>
        <w:rPr>
          <w:vertAlign w:val="baseline"/>
        </w:rPr>
        <w:t xml:space="preserve">Be.</w:t>
      </w:r>
      <w:r>
        <w:rPr>
          <w:vertAlign w:val="baseline"/>
        </w:rPr>
        <w:t xml:space="preserve"> 649. § (1) bekezdés a) pont aa) alpontjára hivatkozással, indítványát a bűnösség anyagi jogszabálysértéssel való megállapítására alapozta. </w:t>
      </w:r>
    </w:p>
    <w:p>
      <w:pPr>
        <w:jc w:val="both"/>
      </w:pPr>
      <w:r>
        <w:rPr>
          <w:vertAlign w:val="baseline"/>
        </w:rPr>
        <w:t xml:space="preserve">[13]</w:t>
      </w:r>
      <w:r>
        <w:rPr>
          <w:vertAlign w:val="baseline"/>
        </w:rPr>
        <w:t xml:space="preserve">          </w:t>
      </w:r>
      <w:r>
        <w:rPr>
          <w:vertAlign w:val="baseline"/>
        </w:rPr>
        <w:t xml:space="preserve">Álláspontja</w:t>
      </w:r>
      <w:r>
        <w:rPr>
          <w:vertAlign w:val="baseline"/>
        </w:rPr>
        <w:t xml:space="preserve"> szerint az alapügyben eljárt bíróságok tévesen, a büntető anyagi jog szabályainak megsértésével állapították meg a terhelt bűnösségét a közúti baleset okozásának vétségében, a törvénysértés pedig abból ered, hogy helytelenül alkalmazták a közúti közlekedés szabályai szerint elsőbbségadásra kötelezett felelősségéről szóló </w:t>
      </w:r>
      <w:r>
        <w:rPr>
          <w:vertAlign w:val="baseline"/>
        </w:rPr>
        <w:t xml:space="preserve">6/1998</w:t>
      </w:r>
      <w:r>
        <w:rPr>
          <w:vertAlign w:val="baseline"/>
        </w:rPr>
        <w:t xml:space="preserve">. Büntető jogegységi határozat (továbbiakban </w:t>
      </w:r>
      <w:r>
        <w:rPr>
          <w:vertAlign w:val="baseline"/>
        </w:rPr>
        <w:t xml:space="preserve">6/1998</w:t>
      </w:r>
      <w:r>
        <w:rPr>
          <w:vertAlign w:val="baseline"/>
        </w:rPr>
        <w:t xml:space="preserve"> </w:t>
      </w:r>
      <w:r>
        <w:rPr>
          <w:vertAlign w:val="baseline"/>
        </w:rPr>
        <w:t xml:space="preserve">BJE</w:t>
      </w:r>
      <w:r>
        <w:rPr>
          <w:vertAlign w:val="baseline"/>
        </w:rPr>
        <w:t xml:space="preserve"> jogegységi határozat) iránymutatását.</w:t>
      </w:r>
      <w:r>
        <w:rPr>
          <w:vertAlign w:val="baseline"/>
        </w:rPr>
        <w:t xml:space="preserve"> </w:t>
      </w:r>
      <w:r>
        <w:rPr>
          <w:vertAlign w:val="baseline"/>
        </w:rPr>
        <w:t xml:space="preserve">Az irányadó tényállás szerint a terhelt egyrészről mindvégig észlelte és követte a vele szemben közlekedő, sértett 1 által vezetett gépjármű mozgását, másrészről pedig a sértett rendkívüli (mintegy 100 %-os, vagy még azt is meghaladó) sebességtúllépése megtévesztette őt az elsőbbségadási kötelezettsége szempontjából.</w:t>
      </w:r>
    </w:p>
    <w:p>
      <w:pPr>
        <w:jc w:val="both"/>
      </w:pPr>
      <w:r>
        <w:rPr>
          <w:vertAlign w:val="baseline"/>
        </w:rPr>
        <w:t xml:space="preserve">[14]</w:t>
      </w:r>
      <w:r>
        <w:rPr>
          <w:vertAlign w:val="baseline"/>
        </w:rPr>
        <w:t xml:space="preserve">          </w:t>
      </w:r>
      <w:r>
        <w:rPr>
          <w:vertAlign w:val="baseline"/>
        </w:rPr>
        <w:t xml:space="preserve">Ebben</w:t>
      </w:r>
      <w:r>
        <w:rPr>
          <w:vertAlign w:val="baseline"/>
        </w:rPr>
        <w:t xml:space="preserve"> a körben arra hivatkozott, hogy terhelt tévedését maga a bíróság is megállapította, amikor tényként állapította meg, hogy a terhelt „tévesen” mérte fel a sértett által vezetett személygépkocsi távolságát, így ezzel ellentétes az a jogi indokolás, mely szerint a terhelt nem volt tévedésben a sértett sebességét illetően és a sértett sebességtúllépése őt nem tévesztette meg. Ezzel kapcsolatban arra is utalt, hogy az eljárásba bevont mindkét igazságügyi műszaki szakértő azt állapította meg, hogy a sértett sebességtúllépése megtévesztő volt és ez a megtévesztő sebességtúllépés a bekövetkezett baleset okának is tekintendő.</w:t>
      </w:r>
    </w:p>
    <w:p>
      <w:pPr>
        <w:jc w:val="both"/>
      </w:pPr>
      <w:r>
        <w:rPr>
          <w:vertAlign w:val="baseline"/>
        </w:rPr>
        <w:t xml:space="preserve">[15]</w:t>
      </w:r>
      <w:r>
        <w:rPr>
          <w:vertAlign w:val="baseline"/>
        </w:rPr>
        <w:t xml:space="preserve">          </w:t>
      </w:r>
      <w:r>
        <w:rPr>
          <w:vertAlign w:val="baseline"/>
        </w:rPr>
        <w:t xml:space="preserve">Utalt</w:t>
      </w:r>
      <w:r>
        <w:rPr>
          <w:vertAlign w:val="baseline"/>
        </w:rPr>
        <w:t xml:space="preserve"> rá, hogy a másodfokú bíróság által pontosított tényállás alapján vitathatatlan, hogy a terhelt által vezetett gépjármű a kanyarodás megkezdésekor nem 20-22 méterre volt a sértett által vezetett gépjárműtől, de hogy mekkora távolságra, az erre vonatkozó megállapítást a bíróságok az ítélet történeti tényállási részében nem tettek. A védő, idézve a szakértő véleményéből, rögzítette, hogy amikor a terhelt gépjárműve a terelővonalat átlépte, akkor a sértett által vezetett gépjármű 70-72 méterre, 3,2 másodperccel az ütközés előtt járt az ütközési pont előtt. Mindebből azt a következtetés vonta le, hogy ha a terhelt nem lett volna tévedésben a sértetti jármű sebessége tekintetében, akkor az ítéletben megállapított haladási sebességével a rendelkezésére álló idő 3,2 másodperc alatt biztonsággal kihaladhatott volna a sértett előtt, elhagyhatta volna a sértett által használt forgalmi sávot. </w:t>
      </w:r>
    </w:p>
    <w:p>
      <w:pPr>
        <w:jc w:val="both"/>
      </w:pPr>
      <w:r>
        <w:rPr>
          <w:vertAlign w:val="baseline"/>
        </w:rPr>
        <w:t xml:space="preserve">[16]</w:t>
      </w:r>
      <w:r>
        <w:rPr>
          <w:vertAlign w:val="baseline"/>
        </w:rPr>
        <w:t xml:space="preserve">          </w:t>
      </w:r>
      <w:r>
        <w:rPr>
          <w:vertAlign w:val="baseline"/>
        </w:rPr>
        <w:t xml:space="preserve">A védő sérelmezte, hogy az eljárt bíróságok kizárólag a sértett általi észlelhetőségre koncentrálva határozták meg a be/elé- kanyarodás távolságát, szem elől tévesztve, hogy a terhelt vád tárgyává tett cselekményét kellett elbírálniuk. </w:t>
      </w:r>
    </w:p>
    <w:p>
      <w:pPr>
        <w:jc w:val="both"/>
      </w:pPr>
      <w:r>
        <w:rPr>
          <w:vertAlign w:val="baseline"/>
        </w:rPr>
        <w:t xml:space="preserve">[17]</w:t>
      </w:r>
      <w:r>
        <w:rPr>
          <w:vertAlign w:val="baseline"/>
        </w:rPr>
        <w:t xml:space="preserve">          </w:t>
      </w:r>
      <w:r>
        <w:rPr>
          <w:vertAlign w:val="baseline"/>
        </w:rPr>
        <w:t xml:space="preserve">Álláspontja</w:t>
      </w:r>
      <w:r>
        <w:rPr>
          <w:vertAlign w:val="baseline"/>
        </w:rPr>
        <w:t xml:space="preserve"> szerint az eljárt bíróságok elmulasztották annak a részletes és érdemi megvizsgálását, hogy a sértett 100%-os, illetve azt is meghaladó sebességtúllépése megtéveszthette-e a terheltet az elsőbbségadási kötelezettsége tekintetében és főként annak indokolásával maradtak adósak, hogy a következetes ítélkezési gyakorlattal is ellentétesen miért nem állapították meg a megtévesztést. </w:t>
      </w:r>
    </w:p>
    <w:p>
      <w:pPr>
        <w:jc w:val="both"/>
      </w:pPr>
      <w:r>
        <w:rPr>
          <w:vertAlign w:val="baseline"/>
        </w:rPr>
        <w:t xml:space="preserve">[18]</w:t>
      </w:r>
      <w:r>
        <w:rPr>
          <w:vertAlign w:val="baseline"/>
        </w:rPr>
        <w:t xml:space="preserve">          </w:t>
      </w:r>
      <w:r>
        <w:rPr>
          <w:vertAlign w:val="baseline"/>
        </w:rPr>
        <w:t xml:space="preserve">Kifejtette,</w:t>
      </w:r>
      <w:r>
        <w:rPr>
          <w:vertAlign w:val="baseline"/>
        </w:rPr>
        <w:t xml:space="preserve"> hogy a terhelt az általa jól ismert, rendszeresen használt útvonalon és közlekedési körülmények között haladva, körültekintően előkészítette a kanyarodását, a maximális biztonságra törekedve mérsékelte a sebességét és kifejezetten lassan, de mégis ütemesen haladva megkezdte a balra kanyarodását, mely egyértelműen és kétséget kizáróan azt igazolja, hogy az általa távolról ténylegesen észlelt sértetti gépjármű ilyen gyors behaladásával és megérkezésével nem számolt. Annak ellenére tehát, hogy a kanyarodás előkészítése során észlelte és regisztrálta a szemből közlekedő sértetti jármű haladását, egyúttal azt is megállapította, hogy az még olyan távolságban van, amely nem érinti, nem befolyásolja a balra kanyarodását. Erre lehet következtetni abból is, hogy a kanyarodást folyamatos haladás során hajtotta végre, másrészről, hogy az utóbb írásban tett vallomása ellenére a balra kanyarodása közben semmilyen irányváltoztatást nem hajtott végre.</w:t>
      </w:r>
    </w:p>
    <w:p>
      <w:pPr>
        <w:jc w:val="both"/>
      </w:pPr>
      <w:r>
        <w:rPr>
          <w:vertAlign w:val="baseline"/>
        </w:rPr>
        <w:t xml:space="preserve">[19]</w:t>
      </w:r>
      <w:r>
        <w:rPr>
          <w:vertAlign w:val="baseline"/>
        </w:rPr>
        <w:t xml:space="preserve">          </w:t>
      </w:r>
      <w:r>
        <w:rPr>
          <w:vertAlign w:val="baseline"/>
        </w:rPr>
        <w:t xml:space="preserve">Hivatkozott</w:t>
      </w:r>
      <w:r>
        <w:rPr>
          <w:vertAlign w:val="baseline"/>
        </w:rPr>
        <w:t xml:space="preserve"> arra, hogy a terhelt az elsőbbségadási kötelezettsége szempontjából jelentős körülményeket az elsőbbségre jogosult szabályszegése következtében nem észlelhette, mert e körülményekre nézve az elsőbbségre jogosult rendkívül jelentős sebességtúllépése őt megtévesztette, ezért a bekövetkezett balesetért és annak következményeiért büntetőjogi felelősség nem terheli. </w:t>
      </w:r>
    </w:p>
    <w:p>
      <w:pPr>
        <w:jc w:val="both"/>
      </w:pPr>
      <w:r>
        <w:rPr>
          <w:vertAlign w:val="baseline"/>
        </w:rPr>
        <w:t xml:space="preserve">[20]</w:t>
      </w:r>
      <w:r>
        <w:rPr>
          <w:vertAlign w:val="baseline"/>
        </w:rPr>
        <w:t xml:space="preserve">          </w:t>
      </w:r>
      <w:r>
        <w:rPr>
          <w:vertAlign w:val="baseline"/>
        </w:rPr>
        <w:t xml:space="preserve">Mindezek</w:t>
      </w:r>
      <w:r>
        <w:rPr>
          <w:vertAlign w:val="baseline"/>
        </w:rPr>
        <w:t xml:space="preserve"> alapján a</w:t>
      </w:r>
      <w:r>
        <w:rPr>
          <w:vertAlign w:val="baseline"/>
        </w:rPr>
        <w:t xml:space="preserve"> </w:t>
      </w:r>
      <w:r>
        <w:rPr>
          <w:vertAlign w:val="baseline"/>
        </w:rPr>
        <w:t xml:space="preserve">jogerős marasztaló határozatok megváltoztatását és a törvénynek megfelelő határozat meghozatalát indítványozta akként, hogy a </w:t>
      </w:r>
      <w:r>
        <w:rPr>
          <w:vertAlign w:val="baseline"/>
        </w:rPr>
        <w:t xml:space="preserve">Kúria</w:t>
      </w:r>
      <w:r>
        <w:rPr>
          <w:vertAlign w:val="baseline"/>
        </w:rPr>
        <w:t xml:space="preserve"> a terheltet az ellene a Btk. 235. (1) bekezdésében meghatározott, a (2) bekezdés b) pontja szerint minősülő és büntetendő közúti baleset okozásának vétsége miatt emelt vád alól, a </w:t>
      </w:r>
      <w:r>
        <w:rPr>
          <w:vertAlign w:val="baseline"/>
        </w:rPr>
        <w:t xml:space="preserve">Be.</w:t>
      </w:r>
      <w:r>
        <w:rPr>
          <w:vertAlign w:val="baseline"/>
        </w:rPr>
        <w:t xml:space="preserve"> 566. § (l) bekezdés a) pontja alapján – mivel a terhére megállapított cselekmény nem bűncselekmény – mentse fel.</w:t>
      </w:r>
    </w:p>
    <w:p>
      <w:pPr>
        <w:jc w:val="both"/>
      </w:pPr>
      <w:r>
        <w:rPr>
          <w:vertAlign w:val="baseline"/>
        </w:rPr>
        <w:t xml:space="preserve">[21]</w:t>
      </w:r>
      <w:r>
        <w:rPr>
          <w:vertAlign w:val="baseline"/>
        </w:rPr>
        <w:t xml:space="preserve">          </w:t>
      </w:r>
      <w:r>
        <w:rPr>
          <w:vertAlign w:val="baseline"/>
        </w:rPr>
        <w:t xml:space="preserve">2. A </w:t>
      </w:r>
      <w:r>
        <w:rPr>
          <w:vertAlign w:val="baseline"/>
        </w:rPr>
        <w:t xml:space="preserve">Legfőbb Ügyészség</w:t>
      </w:r>
      <w:r>
        <w:rPr>
          <w:vertAlign w:val="baseline"/>
        </w:rPr>
        <w:t xml:space="preserve"> a </w:t>
      </w:r>
      <w:r>
        <w:rPr>
          <w:vertAlign w:val="baseline"/>
        </w:rPr>
        <w:t xml:space="preserve">BF.1262/2021/2</w:t>
      </w:r>
      <w:r>
        <w:rPr>
          <w:vertAlign w:val="baseline"/>
        </w:rPr>
        <w:t xml:space="preserve">. számú átiratában a védő által előterjesztett felülvizsgálati indítványt alaptalannak találta, és a támadott határozatok hatályában fenntartására tett indítványt.</w:t>
      </w:r>
    </w:p>
    <w:p>
      <w:pPr>
        <w:jc w:val="both"/>
      </w:pPr>
      <w:r>
        <w:rPr>
          <w:vertAlign w:val="baseline"/>
        </w:rPr>
        <w:t xml:space="preserve">[22]</w:t>
      </w:r>
      <w:r>
        <w:rPr>
          <w:vertAlign w:val="baseline"/>
        </w:rPr>
        <w:t xml:space="preserve">          </w:t>
      </w:r>
      <w:r>
        <w:rPr>
          <w:vertAlign w:val="baseline"/>
        </w:rPr>
        <w:t xml:space="preserve">Indokolásában</w:t>
      </w:r>
      <w:r>
        <w:rPr>
          <w:vertAlign w:val="baseline"/>
        </w:rPr>
        <w:t xml:space="preserve"> a másodfokú bíróság tényállásjavító és kiegészítő tevékenysége alapján a védői okfejtést tévesnek minősítette. Azt nem vitatta, hogy a tényállás – a védő indítványában írtakkal egyezően – nem tartalmaz kifejezetten a terhelt felezővonal elérésével, átlépésével összefüggő térbeni és időbeni adatot, azonban rámutatott arra, hogy a védői hivatkozással ellentétben a szakértő nem tett olyan, a tényállás részének tekintendő megállapítást, amely szerint a baleset a sértett részéről akár a tényleges, akár a megengedett sebességgel haladása esetén elkerülhető lett volna. Utalt arra is, hogy az irányadó tényállás alapján vitathatatlan az, miszerint a terheltnek, aki az elsőbbségi pozícióban vele szemben közlekedő sértetti személygépkocsit folyamatosan figyelemmel kísérte, adott közlekedési körülmények között feltétlenül észlelnie kellett volna. </w:t>
      </w:r>
    </w:p>
    <w:p>
      <w:pPr>
        <w:jc w:val="both"/>
      </w:pPr>
      <w:r>
        <w:rPr>
          <w:vertAlign w:val="baseline"/>
        </w:rPr>
        <w:t xml:space="preserve">[23]</w:t>
      </w:r>
      <w:r>
        <w:rPr>
          <w:vertAlign w:val="baseline"/>
        </w:rPr>
        <w:t xml:space="preserve">          </w:t>
      </w:r>
      <w:r>
        <w:rPr>
          <w:vertAlign w:val="baseline"/>
        </w:rPr>
        <w:t xml:space="preserve">Vitatta</w:t>
      </w:r>
      <w:r>
        <w:rPr>
          <w:vertAlign w:val="baseline"/>
        </w:rPr>
        <w:t xml:space="preserve"> a </w:t>
      </w:r>
      <w:r>
        <w:rPr>
          <w:vertAlign w:val="baseline"/>
        </w:rPr>
        <w:t xml:space="preserve">Legfőbb Ügyészség</w:t>
      </w:r>
      <w:r>
        <w:rPr>
          <w:vertAlign w:val="baseline"/>
        </w:rPr>
        <w:t xml:space="preserve"> a védőnek a jogerős ítélet tényállása és jogi indokolása közötti ellentétet taglaló álláspontját is azzal, hogy az ítéletben a „tévesen mérte fel” kifejezés a terhelt tudattartalmára vonatkozó olyan megállapítás, amely a terhelt nem kellő körültekintéssel végrehajtott közlekedési manőverére utal és</w:t>
      </w:r>
      <w:r>
        <w:rPr>
          <w:vertAlign w:val="baseline"/>
        </w:rPr>
        <w:t xml:space="preserve"> </w:t>
      </w:r>
      <w:r>
        <w:rPr>
          <w:vertAlign w:val="baseline"/>
        </w:rPr>
        <w:t xml:space="preserve">valójában nem a sértett megtévesztő sebessége, hanem a terhelt gondatlansága eredményezte a baleset bekövetkezését.</w:t>
      </w:r>
    </w:p>
    <w:p>
      <w:pPr>
        <w:jc w:val="both"/>
      </w:pPr>
      <w:r>
        <w:rPr>
          <w:vertAlign w:val="baseline"/>
        </w:rPr>
        <w:t xml:space="preserve">[24]</w:t>
      </w:r>
      <w:r>
        <w:rPr>
          <w:vertAlign w:val="baseline"/>
        </w:rPr>
        <w:t xml:space="preserve">          </w:t>
      </w:r>
      <w:r>
        <w:rPr>
          <w:vertAlign w:val="baseline"/>
        </w:rPr>
        <w:t xml:space="preserve">Osztotta</w:t>
      </w:r>
      <w:r>
        <w:rPr>
          <w:vertAlign w:val="baseline"/>
        </w:rPr>
        <w:t xml:space="preserve"> az eljárt bíróságok azon álláspontját is, hogy a sértett sebességtúllépésben megnyilvánuló szabályszegő magatartása a baleset bekövetkezésével nem áll okozati összefüggésben, mert még a megengedett legnagyobb sebességgel haladása esetén sem kerülhette volna azt el. Így álláspontja szerint a bíróságok a tényállásból helytálló következtetést vontak a terhelt bűnösségére, és a cselekmény jogi minősítése is törvényes. </w:t>
      </w:r>
    </w:p>
    <w:p>
      <w:pPr>
        <w:jc w:val="both"/>
      </w:pPr>
      <w:r>
        <w:rPr>
          <w:vertAlign w:val="baseline"/>
        </w:rPr>
        <w:t xml:space="preserve">[25]</w:t>
      </w:r>
      <w:r>
        <w:rPr>
          <w:vertAlign w:val="baseline"/>
        </w:rPr>
        <w:t xml:space="preserve">          </w:t>
      </w:r>
      <w:r>
        <w:rPr>
          <w:vertAlign w:val="baseline"/>
        </w:rPr>
        <w:t xml:space="preserve">3. A terhelt védője a</w:t>
      </w:r>
      <w:r>
        <w:rPr>
          <w:vertAlign w:val="baseline"/>
        </w:rPr>
        <w:t xml:space="preserve"> </w:t>
      </w:r>
      <w:r>
        <w:rPr>
          <w:vertAlign w:val="baseline"/>
        </w:rPr>
        <w:t xml:space="preserve">Legfőbb Ügyészség</w:t>
      </w:r>
      <w:r>
        <w:rPr>
          <w:vertAlign w:val="baseline"/>
        </w:rPr>
        <w:t xml:space="preserve"> átiratára tett észrevételében a felülvizsgálati indítványban foglaltakat változatlanul fenntartotta. Érthetetlennek tartotta az ügyészségi álláspontot arra hivatkozással, hogy azzal a </w:t>
      </w:r>
      <w:r>
        <w:rPr>
          <w:vertAlign w:val="baseline"/>
        </w:rPr>
        <w:t xml:space="preserve">Legfőbb Ügyészség</w:t>
      </w:r>
      <w:r>
        <w:rPr>
          <w:vertAlign w:val="baseline"/>
        </w:rPr>
        <w:t xml:space="preserve"> is egyetértett, hogy a tényállás nem tartalmaz a felezővonal elérésével, áttépésével összefüggő térbeni és időbeni adatot, illetve, hogy a terhelt a kanyarodás megkezdésekor valóban nem 20-22 méterre volt a sértett által vezetett gépjárműtől, így a terelővonal átlépése sem annyi idővel történt a baleset előtt, és a sértett által vezetett gépkocsi távolsága sem annyi volt ekkor, mint amit az ítélet tartalmaz.</w:t>
      </w:r>
    </w:p>
    <w:p>
      <w:pPr>
        <w:jc w:val="both"/>
      </w:pPr>
      <w:r>
        <w:rPr>
          <w:vertAlign w:val="baseline"/>
        </w:rPr>
        <w:t xml:space="preserve">[26]</w:t>
      </w:r>
      <w:r>
        <w:rPr>
          <w:vertAlign w:val="baseline"/>
        </w:rPr>
        <w:t xml:space="preserve">          </w:t>
      </w:r>
      <w:r>
        <w:rPr>
          <w:vertAlign w:val="baseline"/>
        </w:rPr>
        <w:t xml:space="preserve">Hangsúlyozta,</w:t>
      </w:r>
      <w:r>
        <w:rPr>
          <w:vertAlign w:val="baseline"/>
        </w:rPr>
        <w:t xml:space="preserve"> hogy a jogerős ítéletben rögzített adatok alapján nem vitatható, hogy a sértett részéről akár a tényleges, akár a megengedett sebességgel haladása esetén elkerülhető lett volna a baleset. Arra az álláspontra helyezkedett, hogy a </w:t>
      </w:r>
      <w:r>
        <w:rPr>
          <w:vertAlign w:val="baseline"/>
        </w:rPr>
        <w:t xml:space="preserve">Legfőbb Ügyészség</w:t>
      </w:r>
      <w:r>
        <w:rPr>
          <w:vertAlign w:val="baseline"/>
        </w:rPr>
        <w:t xml:space="preserve"> átirata önmagában is ellentétes érvelést tartalmaz, ugyanakkor az alapügyben eljárt bíróságok megállapítása szerint is a folyamatos figyelemmel kísérés ellenére mérte fel tévesen a terhelt a vele szemben közlekedő személygépkocsi távolságát és sebességét. Utalt rá, hogy a </w:t>
      </w:r>
      <w:r>
        <w:rPr>
          <w:vertAlign w:val="baseline"/>
        </w:rPr>
        <w:t xml:space="preserve">Legfőbb Ügyészség</w:t>
      </w:r>
      <w:r>
        <w:rPr>
          <w:vertAlign w:val="baseline"/>
        </w:rPr>
        <w:t xml:space="preserve"> nem tulajdonított jelentőséget annak, hogy mindkét szakértő számára kétségtelen volt az eljárásban, hogy a sértett sebessége megtévesztő volt, melyet vitathatatlan tényként kezeltek.</w:t>
      </w:r>
    </w:p>
    <w:p>
      <w:pPr>
        <w:jc w:val="both"/>
      </w:pPr>
      <w:r>
        <w:rPr>
          <w:vertAlign w:val="baseline"/>
        </w:rPr>
        <w:t xml:space="preserve">[27]</w:t>
      </w:r>
      <w:r>
        <w:rPr>
          <w:vertAlign w:val="baseline"/>
        </w:rPr>
        <w:t xml:space="preserve">          </w:t>
      </w:r>
      <w:r>
        <w:rPr>
          <w:b/>
          <w:vertAlign w:val="baseline"/>
        </w:rPr>
        <w:t xml:space="preserve">III.</w:t>
      </w:r>
      <w:r>
        <w:rPr>
          <w:vertAlign w:val="baseline"/>
        </w:rPr>
        <w:t xml:space="preserve"> A felülvizsgálati indítvány nem alapos.</w:t>
      </w:r>
    </w:p>
    <w:p>
      <w:pPr>
        <w:jc w:val="both"/>
      </w:pPr>
      <w:r>
        <w:rPr>
          <w:vertAlign w:val="baseline"/>
        </w:rPr>
        <w:t xml:space="preserve">[28]</w:t>
      </w:r>
      <w:r>
        <w:rPr>
          <w:vertAlign w:val="baseline"/>
        </w:rPr>
        <w:t xml:space="preserve">          </w:t>
      </w:r>
      <w:r>
        <w:rPr>
          <w:vertAlign w:val="baseline"/>
        </w:rPr>
        <w:t xml:space="preserve">A felülvizsgálat rendkívüli jogorvoslat, ami a </w:t>
      </w:r>
      <w:r>
        <w:rPr>
          <w:vertAlign w:val="baseline"/>
        </w:rPr>
        <w:t xml:space="preserve">Be.</w:t>
      </w:r>
      <w:r>
        <w:rPr>
          <w:vertAlign w:val="baseline"/>
        </w:rPr>
        <w:t xml:space="preserve"> 648. §-a értelmében kizárólag a bíróság jogerős ügydöntő határozata ellen, a </w:t>
      </w:r>
      <w:r>
        <w:rPr>
          <w:vertAlign w:val="baseline"/>
        </w:rPr>
        <w:t xml:space="preserve">Be.</w:t>
      </w:r>
      <w:r>
        <w:rPr>
          <w:vertAlign w:val="baseline"/>
        </w:rPr>
        <w:t xml:space="preserve"> 649. §-ában megjelölt anyagi és eljárási okokból vehető igénybe. A felülvizsgálati okok törvényben meghatározott köre nem bővíthető, az ott meghatározottakon kívül más okból felülvizsgálatnak nincs helye. </w:t>
      </w:r>
    </w:p>
    <w:p>
      <w:pPr>
        <w:jc w:val="both"/>
      </w:pPr>
      <w:r>
        <w:rPr>
          <w:vertAlign w:val="baseline"/>
        </w:rPr>
        <w:t xml:space="preserve">[29]</w:t>
      </w:r>
      <w:r>
        <w:rPr>
          <w:vertAlign w:val="baseline"/>
        </w:rPr>
        <w:t xml:space="preserve">          </w:t>
      </w:r>
      <w:r>
        <w:rPr>
          <w:vertAlign w:val="baseline"/>
        </w:rPr>
        <w:t xml:space="preserve">A terhelt védője anyagi jogi okból a bűnösség törvénysértő megállapítását kifogásolta.</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Be.</w:t>
      </w:r>
      <w:r>
        <w:rPr>
          <w:vertAlign w:val="baseline"/>
        </w:rPr>
        <w:t xml:space="preserve"> 649. § (1) bekezdés a) pont aa) alpontja szerint valóban felülvizsgálati ok, ha a bíróság jogerős ítéletében a terhelt büntetőjogi felelősségét a büntető anyagi jogi szabályok megsértésével állapította meg.</w:t>
      </w:r>
    </w:p>
    <w:p>
      <w:pPr>
        <w:jc w:val="both"/>
      </w:pPr>
      <w:r>
        <w:rPr>
          <w:vertAlign w:val="baseline"/>
        </w:rPr>
        <w:t xml:space="preserve">[31]</w:t>
      </w:r>
      <w:r>
        <w:rPr>
          <w:vertAlign w:val="baseline"/>
        </w:rPr>
        <w:t xml:space="preserve">          </w:t>
      </w:r>
      <w:r>
        <w:rPr>
          <w:vertAlign w:val="baseline"/>
        </w:rPr>
        <w:t xml:space="preserve">Ugyanakkor</w:t>
      </w:r>
      <w:r>
        <w:rPr>
          <w:vertAlign w:val="baseline"/>
        </w:rPr>
        <w:t xml:space="preserve"> a felülvizsgálat alapvető szabálya, hogy a felülvizsgálati indítványban a jogerős ügydöntő határozat által megállapított tényállás nem támadható [Be. 650. § (2) bekezdés]. A felülvizsgálati eljárásban a bizonyítékok ismételt egybevetésének, eltérő értékelésének, valamint bizonyítás felvételének nincs helye, a felülvizsgálati indítvány elbírálásakor a jogerős ügydöntő határozatban megállapított tényállás az irányadó [Be. 659. § (1) bekezdés].</w:t>
      </w:r>
    </w:p>
    <w:p>
      <w:pPr>
        <w:jc w:val="both"/>
      </w:pPr>
      <w:r>
        <w:rPr>
          <w:vertAlign w:val="baseline"/>
        </w:rPr>
        <w:t xml:space="preserve">[32]</w:t>
      </w:r>
      <w:r>
        <w:rPr>
          <w:vertAlign w:val="baseline"/>
        </w:rPr>
        <w:t xml:space="preserve">          </w:t>
      </w:r>
      <w:r>
        <w:rPr>
          <w:vertAlign w:val="baseline"/>
        </w:rPr>
        <w:t xml:space="preserve">A jogerős ügydöntő határozatban megállapított tényállás irányadósága azt jelenti, hogy a felülvizsgálat során nem csak maga a tényállás, hanem mindaz, ami a tényállás megállapításához vezetett, támadhatatlan. Ennek megfelelően a tényállás megalapozottsága, a bizonyítékok mikénti mérlegelése sem külön-külön, sem pedig egymás viszonyában nem vizsgálható. Nincs lehetőség a bíróság bizonyítékokat értékelő tevékenységének, s ezen keresztül a bűnösség kérdésének vitatására sem.</w:t>
      </w:r>
    </w:p>
    <w:p>
      <w:pPr>
        <w:jc w:val="both"/>
      </w:pPr>
      <w:r>
        <w:rPr>
          <w:vertAlign w:val="baseline"/>
        </w:rPr>
        <w:t xml:space="preserve">[33]</w:t>
      </w:r>
      <w:r>
        <w:rPr>
          <w:vertAlign w:val="baseline"/>
        </w:rPr>
        <w:t xml:space="preserve">          </w:t>
      </w:r>
      <w:r>
        <w:rPr>
          <w:vertAlign w:val="baseline"/>
        </w:rPr>
        <w:t xml:space="preserve">A felülvizsgálati eljárásban az irányadó tényálláshoz kötöttség olyannyira szigorú szabály, hogy a büntető anyagi jog szabályainak a megsértése az alapeljárásban megállapított tényállás alapján lenne elbírálandó abban az esetben is, ha a tényállás hiányos, nem kellően felderített, és ellentétes az iratok tartalmával, vagy más megfogalmazásban: az alapügyben megállapított tényállás az irányadó, függetlenül attól, hogy az adott tényállás megalapozott-e, vagy sem. A </w:t>
      </w:r>
      <w:r>
        <w:rPr>
          <w:vertAlign w:val="baseline"/>
        </w:rPr>
        <w:t xml:space="preserve">Kúria</w:t>
      </w:r>
      <w:r>
        <w:rPr>
          <w:vertAlign w:val="baseline"/>
        </w:rPr>
        <w:t xml:space="preserve"> a felülvizsgálati eljárásban nincs is abban a helyzetben, hogy a tényállás megalapozottsága felől állást foglalhasson, hiszen azt nem is vizsgálhatja.</w:t>
      </w:r>
    </w:p>
    <w:p>
      <w:pPr>
        <w:jc w:val="both"/>
      </w:pPr>
      <w:r>
        <w:rPr>
          <w:vertAlign w:val="baseline"/>
        </w:rPr>
        <w:t xml:space="preserve">[34]</w:t>
      </w:r>
      <w:r>
        <w:rPr>
          <w:vertAlign w:val="baseline"/>
        </w:rPr>
        <w:t xml:space="preserve">          </w:t>
      </w:r>
      <w:r>
        <w:rPr>
          <w:vertAlign w:val="baseline"/>
        </w:rPr>
        <w:t xml:space="preserve">A jogerős ítélet tényállásának alapulvételével a felülvizsgálat tárgyát képezheti, hogy a bíróság a büntető anyagi jog szabályainak megfelelően állapította-e meg a terhelt büntetőjogi felelősségét; azaz – közúti baleset okozása esetén – az, hogy a terhelt szegett-e közlekedési szabályt, és az okozati összefüggésben áll-e a balesettel, illetve annak eredményével. Ekként a védő indítványa alapján a felülvizsgálatnak helye van, azonban az abban felvetett jogkérdést a jogerős ítéleti tényállás alapulvételével kell elbírálni, ugyanakkor a tényálláshoz kötöttség követelményéből eredően nem vizsgálható olyan kifogás, amely a tényállásból valamely tény vagy adat hiányát sérelmezi.</w:t>
      </w:r>
    </w:p>
    <w:p>
      <w:pPr>
        <w:jc w:val="both"/>
      </w:pPr>
      <w:r>
        <w:rPr>
          <w:vertAlign w:val="baseline"/>
        </w:rPr>
        <w:t xml:space="preserve">[35]</w:t>
      </w:r>
      <w:r>
        <w:rPr>
          <w:vertAlign w:val="baseline"/>
        </w:rPr>
        <w:t xml:space="preserve">          </w:t>
      </w:r>
      <w:r>
        <w:rPr>
          <w:vertAlign w:val="baseline"/>
        </w:rPr>
        <w:t xml:space="preserve">A közúti baleset okozása bűncselekmény jogi tárgya a közúti közlekedés körében más vagy mások életének, testi épségének, egészségének védelme, elkövetési magatartása a közúti közlekedés szabályainak megszegése, amely mind tevéssel, mind mulasztással, illetve ezek kombinációjával is megvalósulhat.</w:t>
      </w:r>
      <w:r>
        <w:rPr>
          <w:vertAlign w:val="baseline"/>
        </w:rPr>
        <w:t xml:space="preserve"> </w:t>
      </w:r>
    </w:p>
    <w:p>
      <w:pPr>
        <w:jc w:val="both"/>
      </w:pPr>
      <w:r>
        <w:rPr>
          <w:vertAlign w:val="baseline"/>
        </w:rPr>
        <w:t xml:space="preserve">[36]</w:t>
      </w:r>
      <w:r>
        <w:rPr>
          <w:vertAlign w:val="baseline"/>
        </w:rPr>
        <w:t xml:space="preserve">          </w:t>
      </w:r>
      <w:r>
        <w:rPr>
          <w:vertAlign w:val="baseline"/>
        </w:rPr>
        <w:t xml:space="preserve">A tényállás az elkövetési magatartás meghatározására tekintettel kerettényállás, a keretkitöltő alapvető szabályok egyike a közúti közlekedés szabályairól szóló </w:t>
      </w:r>
      <w:r>
        <w:rPr>
          <w:vertAlign w:val="baseline"/>
        </w:rPr>
        <w:t xml:space="preserve">1/1975</w:t>
      </w:r>
      <w:r>
        <w:rPr>
          <w:vertAlign w:val="baseline"/>
        </w:rPr>
        <w:t xml:space="preserve">. (II. 5.) </w:t>
      </w:r>
      <w:r>
        <w:rPr>
          <w:vertAlign w:val="baseline"/>
        </w:rPr>
        <w:t xml:space="preserve">KPM-BM</w:t>
      </w:r>
      <w:r>
        <w:rPr>
          <w:vertAlign w:val="baseline"/>
        </w:rPr>
        <w:t xml:space="preserve"> együttes rendelet (a továbbiakban: </w:t>
      </w:r>
      <w:r>
        <w:rPr>
          <w:vertAlign w:val="baseline"/>
        </w:rPr>
        <w:t xml:space="preserve">KRESZ</w:t>
      </w:r>
      <w:r>
        <w:rPr>
          <w:vertAlign w:val="baseline"/>
        </w:rPr>
        <w:t xml:space="preserve">), mely a közúti közlekedés biztonságos és zavartalan működésének biztosítását célzandó állapítja meg </w:t>
      </w:r>
      <w:r>
        <w:rPr>
          <w:vertAlign w:val="baseline"/>
        </w:rPr>
        <w:t xml:space="preserve">–</w:t>
      </w:r>
      <w:r>
        <w:rPr>
          <w:vertAlign w:val="baseline"/>
        </w:rPr>
        <w:t xml:space="preserve"> különösen </w:t>
      </w:r>
      <w:r>
        <w:rPr>
          <w:vertAlign w:val="baseline"/>
        </w:rPr>
        <w:t xml:space="preserve">– </w:t>
      </w:r>
      <w:r>
        <w:rPr>
          <w:vertAlign w:val="baseline"/>
        </w:rPr>
        <w:t xml:space="preserve">a közlekedésben részvétel személyi és egyéb feltételeit, a közúti jelzéseket és a jármű közlekedésre vonatkozó szabályokat. </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KRESZ</w:t>
      </w:r>
      <w:r>
        <w:rPr>
          <w:vertAlign w:val="baseline"/>
        </w:rPr>
        <w:t xml:space="preserve"> 31. §-a a bekanyarodás szabályait határozza meg. A </w:t>
      </w:r>
      <w:r>
        <w:rPr>
          <w:vertAlign w:val="baseline"/>
        </w:rPr>
        <w:t xml:space="preserve">KRESZ</w:t>
      </w:r>
      <w:r>
        <w:rPr>
          <w:vertAlign w:val="baseline"/>
        </w:rPr>
        <w:t xml:space="preserve"> 31. § </w:t>
      </w:r>
      <w:r>
        <w:rPr>
          <w:vertAlign w:val="baseline"/>
        </w:rPr>
        <w:t xml:space="preserve">(5) bekezdés c) pont ca) alpontja szerint – többek között – elsőbbséget kell adni a balra bekanyarodó járművel az úttesten szemből érkező és egyenesen továbbhaladó jármű részére.</w:t>
      </w:r>
    </w:p>
    <w:p>
      <w:pPr>
        <w:jc w:val="both"/>
      </w:pPr>
      <w:r>
        <w:rPr>
          <w:vertAlign w:val="baseline"/>
        </w:rPr>
        <w:t xml:space="preserve">[38]</w:t>
      </w:r>
      <w:r>
        <w:rPr>
          <w:vertAlign w:val="baseline"/>
        </w:rPr>
        <w:t xml:space="preserve">          </w:t>
      </w:r>
      <w:r>
        <w:rPr>
          <w:vertAlign w:val="baseline"/>
        </w:rPr>
        <w:t xml:space="preserve">Az e</w:t>
      </w:r>
      <w:r>
        <w:rPr>
          <w:vertAlign w:val="baseline"/>
        </w:rPr>
        <w:t xml:space="preserve">lsőbbség: továbbhaladási jog a közlekedés más résztvevőjével szemben. Azt a járművet, amelynek elsőbbsége van, az elsőbbségadásra kötelezett nem kényszerítheti haladási irányának vagy sebességének hirtelen megváltoztatására [KRESZ 1. számú melléklet </w:t>
      </w:r>
      <w:r>
        <w:rPr>
          <w:vertAlign w:val="baseline"/>
        </w:rPr>
        <w:t xml:space="preserve">III.</w:t>
      </w:r>
      <w:r>
        <w:rPr>
          <w:vertAlign w:val="baseline"/>
        </w:rPr>
        <w:t xml:space="preserve"> függelék b) pont]. </w:t>
      </w:r>
    </w:p>
    <w:p>
      <w:pPr>
        <w:jc w:val="both"/>
      </w:pPr>
      <w:r>
        <w:rPr>
          <w:vertAlign w:val="baseline"/>
        </w:rPr>
        <w:t xml:space="preserve">[39]</w:t>
      </w:r>
      <w:r>
        <w:rPr>
          <w:vertAlign w:val="baseline"/>
        </w:rPr>
        <w:t xml:space="preserve">          </w:t>
      </w:r>
      <w:r>
        <w:rPr>
          <w:vertAlign w:val="baseline"/>
        </w:rPr>
        <w:t xml:space="preserve">A védelmi felülvizsgálatban is idézett és a támadott ítéletben helytelenül alkalmazottként hivatkozott </w:t>
      </w:r>
      <w:r>
        <w:rPr>
          <w:vertAlign w:val="baseline"/>
        </w:rPr>
        <w:t xml:space="preserve">6/1998</w:t>
      </w:r>
      <w:r>
        <w:rPr>
          <w:vertAlign w:val="baseline"/>
        </w:rPr>
        <w:t xml:space="preserve">. BJE jogegységi határozat a közúti közlekedés szabályai körében az elsőbbségi szabályok kapcsán arra mutat rá, hogy bár a közúti közlekedést rendjét meghatározó egyes speciális közlekedési szabályok nem állnak egymással “hierarchikus” viszonyban, mégis vannak olyanok, amelyek megtartása különösen azért jelentős a közlekedés biztonsága szempontjából, mivel a megszegésük számos esetben idéz elő súlyos közlekedési balesetet; az elsőbbségadási szabályok éppen ide tartoznak.</w:t>
      </w:r>
    </w:p>
    <w:p>
      <w:pPr>
        <w:jc w:val="both"/>
      </w:pPr>
      <w:r>
        <w:rPr>
          <w:vertAlign w:val="baseline"/>
        </w:rPr>
        <w:t xml:space="preserve">[40]</w:t>
      </w:r>
      <w:r>
        <w:rPr>
          <w:vertAlign w:val="baseline"/>
        </w:rPr>
        <w:t xml:space="preserve">          </w:t>
      </w:r>
      <w:r>
        <w:rPr>
          <w:vertAlign w:val="baseline"/>
        </w:rPr>
        <w:t xml:space="preserve">Az egyéges ítélkezési gyakorlatra utalva a jogegységi határozatban a </w:t>
      </w:r>
      <w:r>
        <w:rPr>
          <w:vertAlign w:val="baseline"/>
        </w:rPr>
        <w:t xml:space="preserve">Legfelsőbb Bíróság</w:t>
      </w:r>
      <w:r>
        <w:rPr>
          <w:vertAlign w:val="baseline"/>
        </w:rPr>
        <w:t xml:space="preserve"> ebben a körben kifejtette, hogy az elsőbbségadásra kötelezett nem mentesülhet a felelősség alól abból az okból, hogy az elsőbbségre jogosult is megszegett valamilyen közlekedési szabályt, így például túllépte a megengedett sebességet. Csak az mentesítheti a felelősség alól, ha éppen az elsőbbségre jogosult szabályszegése nem tette lehetővé, hogy észlelje az elsőbbségadási kötelezettsége szempontjából jelentős körülményeket (pl. az elsőbbségre jogosult sebességtúllépése miatt nem észlelhette idejében az útkanyarban közeledő, elsőbbségre jogosult járművet), illetve hogy helyesen értékelje ezeket a körülményeket (pl. az elsőbbségre jogosult jelentősen túllépte a megengedett sebességet, és ezzel megtévesztette az elsőbbségadásra kötelezettet az elsőbbségre jogosult jármű távolságát illetően). </w:t>
      </w:r>
    </w:p>
    <w:p>
      <w:pPr>
        <w:jc w:val="both"/>
      </w:pPr>
      <w:r>
        <w:rPr>
          <w:vertAlign w:val="baseline"/>
        </w:rPr>
        <w:t xml:space="preserve">[41]</w:t>
      </w:r>
      <w:r>
        <w:rPr>
          <w:vertAlign w:val="baseline"/>
        </w:rPr>
        <w:t xml:space="preserve">          </w:t>
      </w:r>
      <w:r>
        <w:rPr>
          <w:vertAlign w:val="baseline"/>
        </w:rPr>
        <w:t xml:space="preserve">Hangsúlyozta,</w:t>
      </w:r>
      <w:r>
        <w:rPr>
          <w:vertAlign w:val="baseline"/>
        </w:rPr>
        <w:t xml:space="preserve"> hogy mielőtt az elsőbbségadásra kötelezett ténylegesen megkezdi azt a műveletet, amellyel kapcsolatban elsőbbséget kell adnia (pl. elindulás, áthaladás, irányváltoztatás, bekanyarodás), meg kell győződnie ennek a műveletnek a veszélytelenségéről, és a megengedettnél nagyobb sebességgel közeledő elsőbbségre jogosult jármű részére is biztosítania kell az elsőbbséget.</w:t>
      </w:r>
    </w:p>
    <w:p>
      <w:pPr>
        <w:jc w:val="both"/>
      </w:pPr>
      <w:r>
        <w:rPr>
          <w:vertAlign w:val="baseline"/>
        </w:rPr>
        <w:t xml:space="preserve">[42]</w:t>
      </w:r>
      <w:r>
        <w:rPr>
          <w:vertAlign w:val="baseline"/>
        </w:rPr>
        <w:t xml:space="preserve">          </w:t>
      </w:r>
      <w:r>
        <w:rPr>
          <w:vertAlign w:val="baseline"/>
        </w:rPr>
        <w:t xml:space="preserve">Rámutatott,</w:t>
      </w:r>
      <w:r>
        <w:rPr>
          <w:vertAlign w:val="baseline"/>
        </w:rPr>
        <w:t xml:space="preserve"> hogy emellett értékelni kell azt is, ha az elsőbbségre jogosult szabályszegése, a sebesség túllépése is közrehatott a közúti baleset előidézésében, feltéve, hogy az az ő szabályszegésével okozati összefüggésben következett be, ugyanakkor az okozati összefüggés nem állapítható meg akkor, ha a baleset az elsőbbségre jogosult járművének megengedett sebessége mellett is bekövetkezett volna.</w:t>
      </w:r>
    </w:p>
    <w:p>
      <w:pPr>
        <w:jc w:val="both"/>
      </w:pPr>
      <w:r>
        <w:rPr>
          <w:vertAlign w:val="baseline"/>
        </w:rPr>
        <w:t xml:space="preserve">[43]</w:t>
      </w:r>
      <w:r>
        <w:rPr>
          <w:vertAlign w:val="baseline"/>
        </w:rPr>
        <w:t xml:space="preserve">          </w:t>
      </w:r>
      <w:r>
        <w:rPr>
          <w:vertAlign w:val="baseline"/>
        </w:rPr>
        <w:t xml:space="preserve">A jelen ügyben az irányadó tényállás azt rögzíti, hogy a terhelt a főúton haladása során balra, a szállító útra szándékozott kanyarodni, ennek során azonban tévesen mérte fel a vele szemben közlekedő, és egyenesen város 1 felől város 2 irányába tovább haladni szándékozó sértett által vezetett személygépkocsi távolságát és a kanyarodást a sértetti személygépkocsi előtt 22-24 méter távolságban –, a megengedett legnagyobb sebességhez képest féktávolságon belül – 17-19 km/h sebességgel megkezdte, aminek következtében a járművek összeütköztek.</w:t>
      </w:r>
    </w:p>
    <w:p>
      <w:pPr>
        <w:jc w:val="both"/>
      </w:pPr>
      <w:r>
        <w:rPr>
          <w:vertAlign w:val="baseline"/>
        </w:rPr>
        <w:t xml:space="preserve">[44]</w:t>
      </w:r>
      <w:r>
        <w:rPr>
          <w:vertAlign w:val="baseline"/>
        </w:rPr>
        <w:t xml:space="preserve">          </w:t>
      </w:r>
      <w:r>
        <w:rPr>
          <w:vertAlign w:val="baseline"/>
        </w:rPr>
        <w:t xml:space="preserve">Az irányadó tényállás alapján azt, hogy az elsőbbségadási kötelezettség a főútvonalról a szállító útra bekanyarodni szándékozó terheltet a vele szemben közlekedő, és egyenesen tovább haladni szándékozó sértetti személygépkocsival szemben, a felülvizsgálati indítvány sem vitatta, ugyanakkor a tényállás e részében a „téves mérte fel” fordulat védői értelmezése hibás, ebből kifolyólag pedig alaptalan az eljárt bíróságok jogi indokolásának ellentmondásosságára való hivatkozása is.</w:t>
      </w:r>
    </w:p>
    <w:p>
      <w:pPr>
        <w:jc w:val="both"/>
      </w:pPr>
      <w:r>
        <w:rPr>
          <w:vertAlign w:val="baseline"/>
        </w:rPr>
        <w:t xml:space="preserve">[45]</w:t>
      </w:r>
      <w:r>
        <w:rPr>
          <w:vertAlign w:val="baseline"/>
        </w:rPr>
        <w:t xml:space="preserve">          </w:t>
      </w:r>
      <w:r>
        <w:rPr>
          <w:vertAlign w:val="baseline"/>
        </w:rPr>
        <w:t xml:space="preserve">A „tévesen mérte fel” fordulat – ahogyan arra a </w:t>
      </w:r>
      <w:r>
        <w:rPr>
          <w:vertAlign w:val="baseline"/>
        </w:rPr>
        <w:t xml:space="preserve">Legfőbb Ügyészség</w:t>
      </w:r>
      <w:r>
        <w:rPr>
          <w:vertAlign w:val="baseline"/>
        </w:rPr>
        <w:t xml:space="preserve"> átiratába hivatkozott is – a terhelti oldalon, a terhelt tudattartalmára vonatkozó megállapítás, annak kifejezésre, amely szerint a közlekedésben való részvételével során a terhelt az általa végrehajtott közlekedési manővert nem kellő körültekintéssel, gondossággal hajtotta végre. Jelen esetben a „tévesen mérte fel” fordulat még nyelvtani értelmezés mellett sem feleltethető meg olyan tudati állapotnak, amely más magatartásának vagy más által előidézett helyzetnek, akár más megtévesztő magatartásának következménye. </w:t>
      </w:r>
    </w:p>
    <w:p>
      <w:pPr>
        <w:jc w:val="both"/>
      </w:pPr>
      <w:r>
        <w:rPr>
          <w:vertAlign w:val="baseline"/>
        </w:rPr>
        <w:t xml:space="preserve">[46]</w:t>
      </w:r>
      <w:r>
        <w:rPr>
          <w:vertAlign w:val="baseline"/>
        </w:rPr>
        <w:t xml:space="preserve">          </w:t>
      </w:r>
      <w:r>
        <w:rPr>
          <w:vertAlign w:val="baseline"/>
        </w:rPr>
        <w:t xml:space="preserve">Az irányadó tényállásban az a megállapítás, hogy a terhelt tévesen mérte fel a vele szemben haladó sértetti jármű távolságát, nem azonosítható azzal a megtévesztő magatartással, amelyet a </w:t>
      </w:r>
      <w:r>
        <w:rPr>
          <w:vertAlign w:val="baseline"/>
        </w:rPr>
        <w:t xml:space="preserve">6/1998</w:t>
      </w:r>
      <w:r>
        <w:rPr>
          <w:vertAlign w:val="baseline"/>
        </w:rPr>
        <w:t xml:space="preserve">. BJE jogegységi határozat a mentesülés körében értékel. A tényállás ezen megállapítása – ellentétben a védői állásponttal – arról szól, hogy a terhelt saját figyelmetlensége miatt nem adott elsőbbséget a sértetti jármű részére; mindezt az elsőfokú bíróság a bizonyítékok értékelésének eredményeként – ítélet indokolásában maradéktalanul rögzítve – állapította meg és annak megfelelően a terhelt bűnösségéről döntött.</w:t>
      </w:r>
    </w:p>
    <w:p>
      <w:pPr>
        <w:jc w:val="both"/>
      </w:pPr>
      <w:r>
        <w:rPr>
          <w:vertAlign w:val="baseline"/>
        </w:rPr>
        <w:t xml:space="preserve">[47]</w:t>
      </w:r>
      <w:r>
        <w:rPr>
          <w:vertAlign w:val="baseline"/>
        </w:rPr>
        <w:t xml:space="preserve">          </w:t>
      </w:r>
      <w:r>
        <w:rPr>
          <w:vertAlign w:val="baseline"/>
        </w:rPr>
        <w:t xml:space="preserve">A védő felülvizsgálati indítványa nemcsak önmagával ellentétesen, de tévesen is sérelmezi azt, hogy az eljárt bíróságok elmulasztották annak érdemi vizsgálatát, miszerint a sértett sebességtúllépése megtéveszthette-e a terheltet a sebességadási kötelezettség tekintetében.</w:t>
      </w:r>
    </w:p>
    <w:p>
      <w:pPr>
        <w:jc w:val="both"/>
      </w:pPr>
      <w:r>
        <w:rPr>
          <w:vertAlign w:val="baseline"/>
        </w:rPr>
        <w:t xml:space="preserve">[48]</w:t>
      </w:r>
      <w:r>
        <w:rPr>
          <w:vertAlign w:val="baseline"/>
        </w:rPr>
        <w:t xml:space="preserve">          </w:t>
      </w:r>
      <w:r>
        <w:rPr>
          <w:vertAlign w:val="baseline"/>
        </w:rPr>
        <w:t xml:space="preserve">Egyrészt,</w:t>
      </w:r>
      <w:r>
        <w:rPr>
          <w:vertAlign w:val="baseline"/>
        </w:rPr>
        <w:t xml:space="preserve"> a felülvizsgálati indítvány 3. oldal 3. pont 2. bekezdésében éppen azt rögzíti, hogy „az ítélet jogi indokolásában (mindkét fokú bíróság) ezzel a tényállással ellentétesen állapította meg azt, hogy a terhelt nem volt tévedésben a sértett sebességét illetően és a sértett sebességtúllépése őt nem tévesztette meg”, amely észrevétel önmagában cáfolja az érdemi vizsgálat elmulasztására vonatkozó kifogást. Másrészt, az elsőfokú bíróság a terhelti védekezés és a sértetti sebességtúllépést alátámasztó igazságügyi műszaki szakértő véleménye alapján – ítélete indokolásában külön kiemelve – önállóan is foglalkozott a megtéveszthetőség lehetőségével {Kunszentmártoni </w:t>
      </w:r>
      <w:r>
        <w:rPr>
          <w:vertAlign w:val="baseline"/>
        </w:rPr>
        <w:t xml:space="preserve">Járásbíróság</w:t>
      </w:r>
      <w:r>
        <w:rPr>
          <w:vertAlign w:val="baseline"/>
        </w:rPr>
        <w:t xml:space="preserve"> </w:t>
      </w:r>
      <w:r>
        <w:rPr>
          <w:vertAlign w:val="baseline"/>
        </w:rPr>
        <w:t xml:space="preserve">5.B.24/2019/62</w:t>
      </w:r>
      <w:r>
        <w:rPr>
          <w:vertAlign w:val="baseline"/>
        </w:rPr>
        <w:t xml:space="preserve">. számú ítélet [31]-[35] bekezdés}. Ezt az értékelést a másodfokú bíróság a védelmi fellebbezés folytán, amely a </w:t>
      </w:r>
      <w:r>
        <w:rPr>
          <w:vertAlign w:val="baseline"/>
        </w:rPr>
        <w:t xml:space="preserve">6/1998</w:t>
      </w:r>
      <w:r>
        <w:rPr>
          <w:vertAlign w:val="baseline"/>
        </w:rPr>
        <w:t xml:space="preserve"> </w:t>
      </w:r>
      <w:r>
        <w:rPr>
          <w:vertAlign w:val="baseline"/>
        </w:rPr>
        <w:t xml:space="preserve">BJE</w:t>
      </w:r>
      <w:r>
        <w:rPr>
          <w:vertAlign w:val="baseline"/>
        </w:rPr>
        <w:t xml:space="preserve"> jogegységi határozatra hivatkozással a sértetti közrehatás és a terhelt megtévesztésének hiányát már akkor is vitatta, a teljeskörű felülbírálat keretében meg is vizsgálta {Szolnoki </w:t>
      </w:r>
      <w:r>
        <w:rPr>
          <w:vertAlign w:val="baseline"/>
        </w:rPr>
        <w:t xml:space="preserve">Törvényszék</w:t>
      </w:r>
      <w:r>
        <w:rPr>
          <w:vertAlign w:val="baseline"/>
        </w:rPr>
        <w:t xml:space="preserve"> </w:t>
      </w:r>
      <w:r>
        <w:rPr>
          <w:vertAlign w:val="baseline"/>
        </w:rPr>
        <w:t xml:space="preserve">1.Bf.88/2021/7</w:t>
      </w:r>
      <w:r>
        <w:rPr>
          <w:vertAlign w:val="baseline"/>
        </w:rPr>
        <w:t xml:space="preserve">. számú végzés [13] és [15] bekezdések}. Mindezekre tekintettel az eljárt bíróságok tevékenységének támadása a sebességtúllépésből eredő megtévesztés vizsgálatának elmulasztásával alaptalan.</w:t>
      </w:r>
    </w:p>
    <w:p>
      <w:pPr>
        <w:jc w:val="both"/>
      </w:pPr>
      <w:r>
        <w:rPr>
          <w:vertAlign w:val="baseline"/>
        </w:rPr>
        <w:t xml:space="preserve">[49]</w:t>
      </w:r>
      <w:r>
        <w:rPr>
          <w:vertAlign w:val="baseline"/>
        </w:rPr>
        <w:t xml:space="preserve">          </w:t>
      </w:r>
      <w:r>
        <w:rPr>
          <w:vertAlign w:val="baseline"/>
        </w:rPr>
        <w:t xml:space="preserve">Az irányadó tényállás kétségkívül rögzítette, hogy a sértetti </w:t>
      </w:r>
      <w:r>
        <w:rPr>
          <w:vertAlign w:val="baseline"/>
        </w:rPr>
        <w:t xml:space="preserve">Opel Astra</w:t>
      </w:r>
      <w:r>
        <w:rPr>
          <w:vertAlign w:val="baseline"/>
        </w:rPr>
        <w:t xml:space="preserve"> típusú személygépkocsi adott útszakaszon megengedett 40 km/h haladási sebességhez képest 80-84 km/h sebességgel haladt, ennek a terhelti bekanyarodási manővert befolyásoló, megtévesztő jellegét hangsúlyozta a felülvizsgálati indítvány.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6/1998</w:t>
      </w:r>
      <w:r>
        <w:rPr>
          <w:vertAlign w:val="baseline"/>
        </w:rPr>
        <w:t xml:space="preserve">. BJE jogegységi határozat már idézett indokolása ebben a körben egyértelmű; mielőtt az elsőbbségadásra kötelezett ténylegesen megkezdi azt a műveletet, amellyel kapcsolatban elsőbbséget kell adnia – jelen esetben ez a bekanyarodás –, meg kell győződnie ennek a műveletnek a veszélytelenségéről, és a megengedettnél nagyobb sebességgel közeledő elsőbbségre jogosult jármű részére is biztosítania kell az elsőbbséget.</w:t>
      </w:r>
    </w:p>
    <w:p>
      <w:pPr>
        <w:jc w:val="both"/>
      </w:pPr>
      <w:r>
        <w:rPr>
          <w:vertAlign w:val="baseline"/>
        </w:rPr>
        <w:t xml:space="preserve">[51]</w:t>
      </w:r>
      <w:r>
        <w:rPr>
          <w:vertAlign w:val="baseline"/>
        </w:rPr>
        <w:t xml:space="preserve">          </w:t>
      </w:r>
      <w:r>
        <w:rPr>
          <w:vertAlign w:val="baseline"/>
        </w:rPr>
        <w:t xml:space="preserve">Az irányadó tényállás pedig – a másodfokú bíróság kiegészítése folytán</w:t>
      </w:r>
      <w:r>
        <w:rPr>
          <w:vertAlign w:val="baseline"/>
        </w:rPr>
        <w:t xml:space="preserve"> – azt rögzíti, hogy a terhelt</w:t>
      </w:r>
      <w:r>
        <w:rPr>
          <w:vertAlign w:val="baseline"/>
        </w:rPr>
        <w:t xml:space="preserve">i </w:t>
      </w:r>
      <w:r>
        <w:rPr>
          <w:vertAlign w:val="baseline"/>
        </w:rPr>
        <w:t xml:space="preserve">Toyota</w:t>
      </w:r>
      <w:r>
        <w:rPr>
          <w:vertAlign w:val="baseline"/>
        </w:rPr>
        <w:t xml:space="preserve"> típusú tehergépkocsi észlelhető bekanyarodásának pillanatában, amelyhez az út felezővonalát legalább 50 centiméterrel át kellett lépnie, a sértetti gépjármű 20-22 méterre járt a későbbi ütközési ponttól, ami még a megengedett sebesség, a 40 km/h haladási sebességhez tartozó vészfékezés határára esik. </w:t>
      </w:r>
    </w:p>
    <w:p>
      <w:pPr>
        <w:jc w:val="both"/>
      </w:pPr>
      <w:r>
        <w:rPr>
          <w:vertAlign w:val="baseline"/>
        </w:rPr>
        <w:t xml:space="preserve">[52]</w:t>
      </w:r>
      <w:r>
        <w:rPr>
          <w:vertAlign w:val="baseline"/>
        </w:rPr>
        <w:t xml:space="preserve">          </w:t>
      </w:r>
      <w:r>
        <w:rPr>
          <w:vertAlign w:val="baseline"/>
        </w:rPr>
        <w:t xml:space="preserve">Elsőbbségi</w:t>
      </w:r>
      <w:r>
        <w:rPr>
          <w:vertAlign w:val="baseline"/>
        </w:rPr>
        <w:t xml:space="preserve"> pozícióban a vészfékezés a továbbhaladási jogosultság megsértésének ellensúlyozását célzó olyan reakció, mely éppen az elsőbbség szabályozásának céljából és szabályozottságának jellegéből fakadóan az elsőbbség jogosultjától el nem várható magatartás.</w:t>
      </w:r>
    </w:p>
    <w:p>
      <w:pPr>
        <w:jc w:val="both"/>
      </w:pPr>
      <w:r>
        <w:rPr>
          <w:vertAlign w:val="baseline"/>
        </w:rPr>
        <w:t xml:space="preserve">[53]</w:t>
      </w:r>
      <w:r>
        <w:rPr>
          <w:vertAlign w:val="baseline"/>
        </w:rPr>
        <w:t xml:space="preserve">          </w:t>
      </w:r>
      <w:r>
        <w:rPr>
          <w:vertAlign w:val="baseline"/>
        </w:rPr>
        <w:t xml:space="preserve">A </w:t>
      </w:r>
      <w:r>
        <w:rPr>
          <w:vertAlign w:val="baseline"/>
        </w:rPr>
        <w:t xml:space="preserve">Kúria</w:t>
      </w:r>
      <w:r>
        <w:rPr>
          <w:vertAlign w:val="baseline"/>
        </w:rPr>
        <w:t xml:space="preserve"> ebben a körben osztja a másodfokú bíróság azon</w:t>
      </w:r>
      <w:r>
        <w:rPr>
          <w:vertAlign w:val="baseline"/>
        </w:rPr>
        <w:t xml:space="preserve"> megállapítását, mely szerint a</w:t>
      </w:r>
      <w:r>
        <w:rPr>
          <w:vertAlign w:val="baseline"/>
        </w:rPr>
        <w:t xml:space="preserve"> sértetti gépjármű vezetője számára a terhelt balra kanyarodási szándéka már csak olyan távolságból volt ténylegesen észlelhető, amely a megengedett legnagyobb sebessége alapján számított lassító fékezés féktávolságán belül válhatott észlelhetővé, következésképp felelőssége a balesettel okozati összefüggésbe nem állt. </w:t>
      </w:r>
    </w:p>
    <w:p>
      <w:pPr>
        <w:jc w:val="both"/>
      </w:pPr>
      <w:r>
        <w:rPr>
          <w:vertAlign w:val="baseline"/>
        </w:rPr>
        <w:t xml:space="preserve">[54]</w:t>
      </w:r>
      <w:r>
        <w:rPr>
          <w:vertAlign w:val="baseline"/>
        </w:rPr>
        <w:t xml:space="preserve">          </w:t>
      </w:r>
      <w:r>
        <w:rPr>
          <w:vertAlign w:val="baseline"/>
        </w:rPr>
        <w:t xml:space="preserve">A védő felülvizsgálati indítványában a szakértő véleményével összefüggésben tett megállapításai körében – osztva a </w:t>
      </w:r>
      <w:r>
        <w:rPr>
          <w:vertAlign w:val="baseline"/>
        </w:rPr>
        <w:t xml:space="preserve">Legfőbb Ügyészség</w:t>
      </w:r>
      <w:r>
        <w:rPr>
          <w:vertAlign w:val="baseline"/>
        </w:rPr>
        <w:t xml:space="preserve"> észrevételét – a </w:t>
      </w:r>
      <w:r>
        <w:rPr>
          <w:vertAlign w:val="baseline"/>
        </w:rPr>
        <w:t xml:space="preserve">Kúria</w:t>
      </w:r>
      <w:r>
        <w:rPr>
          <w:vertAlign w:val="baseline"/>
        </w:rPr>
        <w:t xml:space="preserve"> a korábbi határozataiban már kifejtettekkel egyezően rögzíti, hogy a következetes ítélkezési gyakorlata alapján a felülvizsgálat során az irányadó tényállás részének kell tekinteni a bíróságnak – az ítéletszerkesztési hiba folytán – az ítélete indokolásának más, tényálláson kívüli részeiben feltüntetett ténymegállapításait is (BH </w:t>
      </w:r>
      <w:r>
        <w:rPr>
          <w:vertAlign w:val="baseline"/>
        </w:rPr>
        <w:t xml:space="preserve">2016.163.</w:t>
      </w:r>
      <w:r>
        <w:rPr>
          <w:vertAlign w:val="baseline"/>
        </w:rPr>
        <w:t xml:space="preserve">III., </w:t>
      </w:r>
      <w:r>
        <w:rPr>
          <w:vertAlign w:val="baseline"/>
        </w:rPr>
        <w:t xml:space="preserve">BH</w:t>
      </w:r>
      <w:r>
        <w:rPr>
          <w:vertAlign w:val="baseline"/>
        </w:rPr>
        <w:t xml:space="preserve"> </w:t>
      </w:r>
      <w:r>
        <w:rPr>
          <w:vertAlign w:val="baseline"/>
        </w:rPr>
        <w:t xml:space="preserve">2015.216.</w:t>
      </w:r>
      <w:r>
        <w:rPr>
          <w:vertAlign w:val="baseline"/>
        </w:rPr>
        <w:t xml:space="preserve">I., </w:t>
      </w:r>
      <w:r>
        <w:rPr>
          <w:vertAlign w:val="baseline"/>
        </w:rPr>
        <w:t xml:space="preserve">BH</w:t>
      </w:r>
      <w:r>
        <w:rPr>
          <w:vertAlign w:val="baseline"/>
        </w:rPr>
        <w:t xml:space="preserve"> </w:t>
      </w:r>
      <w:r>
        <w:rPr>
          <w:vertAlign w:val="baseline"/>
        </w:rPr>
        <w:t xml:space="preserve">2006.392.,</w:t>
      </w:r>
      <w:r>
        <w:rPr>
          <w:vertAlign w:val="baseline"/>
        </w:rPr>
        <w:t xml:space="preserve"> </w:t>
      </w:r>
      <w:r>
        <w:rPr>
          <w:vertAlign w:val="baseline"/>
        </w:rPr>
        <w:t xml:space="preserve">BH</w:t>
      </w:r>
      <w:r>
        <w:rPr>
          <w:vertAlign w:val="baseline"/>
        </w:rPr>
        <w:t xml:space="preserve"> </w:t>
      </w:r>
      <w:r>
        <w:rPr>
          <w:vertAlign w:val="baseline"/>
        </w:rPr>
        <w:t xml:space="preserve">2005.89.</w:t>
      </w:r>
      <w:r>
        <w:rPr>
          <w:vertAlign w:val="baseline"/>
        </w:rPr>
        <w:t xml:space="preserve">II.). Azonban a tényállás része csak ténymegállapítás lehet; ellenben nem ténymegállapítás, és így nem is a tényállás része, amikor a bíróság határozatának indokolásában bizonyíték tartalmát idézi, avagy jogi értékelést végez {BH </w:t>
      </w:r>
      <w:r>
        <w:rPr>
          <w:vertAlign w:val="baseline"/>
        </w:rPr>
        <w:t xml:space="preserve">2019.19.</w:t>
      </w:r>
      <w:r>
        <w:rPr>
          <w:vertAlign w:val="baseline"/>
        </w:rPr>
        <w:t xml:space="preserve">II., Kúria </w:t>
      </w:r>
      <w:r>
        <w:rPr>
          <w:vertAlign w:val="baseline"/>
        </w:rPr>
        <w:t xml:space="preserve">Bfv.II.925/2019/6</w:t>
      </w:r>
      <w:r>
        <w:rPr>
          <w:vertAlign w:val="baseline"/>
        </w:rPr>
        <w:t xml:space="preserve">. indokolás [51] bekezdés, </w:t>
      </w:r>
      <w:r>
        <w:rPr>
          <w:vertAlign w:val="baseline"/>
        </w:rPr>
        <w:t xml:space="preserve">Bfv.II.80/2021/6</w:t>
      </w:r>
      <w:r>
        <w:rPr>
          <w:vertAlign w:val="baseline"/>
        </w:rPr>
        <w:t xml:space="preserve">. indokolás [25] bekezdés}. </w:t>
      </w:r>
    </w:p>
    <w:p>
      <w:pPr>
        <w:jc w:val="both"/>
      </w:pPr>
      <w:r>
        <w:rPr>
          <w:vertAlign w:val="baseline"/>
        </w:rPr>
        <w:t xml:space="preserve">[55]</w:t>
      </w:r>
      <w:r>
        <w:rPr>
          <w:vertAlign w:val="baseline"/>
        </w:rPr>
        <w:t xml:space="preserve">          </w:t>
      </w:r>
      <w:r>
        <w:rPr>
          <w:vertAlign w:val="baseline"/>
        </w:rPr>
        <w:t xml:space="preserve">Az elsőfokú bíróság pedig ezt tette, amikor a széleskörben lefolytatott szakértői bizonyításról beszámolt, amely keretében a nyomozás során kirendet igazságügyi műszaki szakértő mellett a védelem által magánszakértőként bevont igazságügyi műszaki szakértő közreműködésére is sor került. A bíróság mindkét szakértőt meghallgatta, a tényállás teljeskörű tisztázása érdekében kiegészítő szakértői vélemény beszerzését rendelte el mindkét szakértő tekintetében, és a szakértőket a tárgyaláson a kiegészítő szakértői vélemény tekintetében is nyilatkoztatta (Kunszentmártoni </w:t>
      </w:r>
      <w:r>
        <w:rPr>
          <w:vertAlign w:val="baseline"/>
        </w:rPr>
        <w:t xml:space="preserve">Járásbíróság</w:t>
      </w:r>
      <w:r>
        <w:rPr>
          <w:vertAlign w:val="baseline"/>
        </w:rPr>
        <w:t xml:space="preserve"> </w:t>
      </w:r>
      <w:r>
        <w:rPr>
          <w:vertAlign w:val="baseline"/>
        </w:rPr>
        <w:t xml:space="preserve">5.B.24/2019/54</w:t>
      </w:r>
      <w:r>
        <w:rPr>
          <w:vertAlign w:val="baseline"/>
        </w:rPr>
        <w:t xml:space="preserve">. számú jegyzőkönyv).</w:t>
      </w:r>
    </w:p>
    <w:p>
      <w:pPr>
        <w:jc w:val="both"/>
      </w:pPr>
      <w:r>
        <w:rPr>
          <w:vertAlign w:val="baseline"/>
        </w:rPr>
        <w:t xml:space="preserve">[56]</w:t>
      </w:r>
      <w:r>
        <w:rPr>
          <w:vertAlign w:val="baseline"/>
        </w:rPr>
        <w:t xml:space="preserve">          </w:t>
      </w:r>
      <w:r>
        <w:rPr>
          <w:vertAlign w:val="baseline"/>
        </w:rPr>
        <w:t xml:space="preserve">A szakértői bizonyításról ítélete indokolásában részletesen beszámolt, ebben a körben az ítélete [51-[51] és [53]-[55] bekezdései a műszaki szakértői véleményben, kiegészítő műszaki szakértői véleményekben és a szakértők által a tárgyaláson előadottakat tartalmazzák. </w:t>
      </w:r>
    </w:p>
    <w:p>
      <w:pPr>
        <w:jc w:val="both"/>
      </w:pPr>
      <w:r>
        <w:rPr>
          <w:vertAlign w:val="baseline"/>
        </w:rPr>
        <w:t xml:space="preserve">[57]</w:t>
      </w:r>
      <w:r>
        <w:rPr>
          <w:vertAlign w:val="baseline"/>
        </w:rPr>
        <w:t xml:space="preserve">          </w:t>
      </w:r>
      <w:r>
        <w:rPr>
          <w:vertAlign w:val="baseline"/>
        </w:rPr>
        <w:t xml:space="preserve">A </w:t>
      </w:r>
      <w:r>
        <w:rPr>
          <w:vertAlign w:val="baseline"/>
        </w:rPr>
        <w:t xml:space="preserve">Be.</w:t>
      </w:r>
      <w:r>
        <w:rPr>
          <w:vertAlign w:val="baseline"/>
        </w:rPr>
        <w:t xml:space="preserve"> 163. § (1) bekezdése alapján a bizonyítás azokra a tényekre terjed ki, amelyek a büntető és a büntetőeljárási jogszabályok alkalmazásában jelentősek. A bizonyítandó tény bizonyítója a bizonyíték, aminek forrása (megismerésének biztosítója) pedig a bizonyítási eszköz. Bizonyíték tehát a vallomás vagy az okirat tartalma, aminek alapján, illetve amiből következően a bíróság megállapítja a tényállást. Személyi vagy tárgyi bizonyítási eszköz pedig akinek, illetve aminek révén a bíróság megismeri a bizonyítékot. </w:t>
      </w:r>
    </w:p>
    <w:p>
      <w:pPr>
        <w:jc w:val="both"/>
      </w:pPr>
      <w:r>
        <w:rPr>
          <w:vertAlign w:val="baseline"/>
        </w:rPr>
        <w:t xml:space="preserve">[58]</w:t>
      </w:r>
      <w:r>
        <w:rPr>
          <w:vertAlign w:val="baseline"/>
        </w:rPr>
        <w:t xml:space="preserve">          </w:t>
      </w:r>
      <w:r>
        <w:rPr>
          <w:vertAlign w:val="baseline"/>
        </w:rPr>
        <w:t xml:space="preserve">A bizonyítás eszközeit a </w:t>
      </w:r>
      <w:r>
        <w:rPr>
          <w:vertAlign w:val="baseline"/>
        </w:rPr>
        <w:t xml:space="preserve">Be.</w:t>
      </w:r>
      <w:r>
        <w:rPr>
          <w:vertAlign w:val="baseline"/>
        </w:rPr>
        <w:t xml:space="preserve"> 165. §-a taxatíve sorolja fel, ezek között szerepel a szakvélemény is. A szakvélemény tartalma a bizonyíték, amelyet a bíróság a többi bizonyítékkal együtt, a </w:t>
      </w:r>
      <w:r>
        <w:rPr>
          <w:vertAlign w:val="baseline"/>
        </w:rPr>
        <w:t xml:space="preserve">Be.</w:t>
      </w:r>
      <w:r>
        <w:rPr>
          <w:vertAlign w:val="baseline"/>
        </w:rPr>
        <w:t xml:space="preserve"> 164. § (4) bekezdése szerint mérlegelve állapítja meg a büntető jogszabályok alkalmazása szempontjából jelentős tényt, tényeket. </w:t>
      </w:r>
    </w:p>
    <w:p>
      <w:pPr>
        <w:jc w:val="both"/>
      </w:pPr>
      <w:r>
        <w:rPr>
          <w:vertAlign w:val="baseline"/>
        </w:rPr>
        <w:t xml:space="preserve">[59]</w:t>
      </w:r>
      <w:r>
        <w:rPr>
          <w:vertAlign w:val="baseline"/>
        </w:rPr>
        <w:t xml:space="preserve">          </w:t>
      </w:r>
      <w:r>
        <w:rPr>
          <w:vertAlign w:val="baseline"/>
        </w:rPr>
        <w:t xml:space="preserve">A szakértő a bizonyítandó tény megállapításához vagy megítéléséhez szükséges különleges szakértelmet biztosítja [Be. 188. § (1) bekezdés], a szakvéleményben jogkérdésben – ha jogszabály eltérően nem rendelkezik – nem lehet állást foglalni [2016. évi </w:t>
      </w:r>
      <w:r>
        <w:rPr>
          <w:vertAlign w:val="baseline"/>
        </w:rPr>
        <w:t xml:space="preserve">XXIX.</w:t>
      </w:r>
      <w:r>
        <w:rPr>
          <w:vertAlign w:val="baseline"/>
        </w:rPr>
        <w:t xml:space="preserve"> törvény az igazságügyi szakértőkről </w:t>
      </w:r>
      <w:r>
        <w:rPr>
          <w:vertAlign w:val="baseline"/>
        </w:rPr>
        <w:t xml:space="preserve">47. § </w:t>
      </w:r>
      <w:r>
        <w:rPr>
          <w:vertAlign w:val="baseline"/>
        </w:rPr>
        <w:t xml:space="preserve">(6) bekezdés]. Mindezek alapján helytálló a </w:t>
      </w:r>
      <w:r>
        <w:rPr>
          <w:vertAlign w:val="baseline"/>
        </w:rPr>
        <w:t xml:space="preserve">Legfőbb Ügyészség</w:t>
      </w:r>
      <w:r>
        <w:rPr>
          <w:vertAlign w:val="baseline"/>
        </w:rPr>
        <w:t xml:space="preserve"> azon megjegyzése, mely szerint a sebesség megtévesztő jellegének tényként való megállapítása túllép a szakértői kompetencián. </w:t>
      </w:r>
    </w:p>
    <w:p>
      <w:pPr>
        <w:jc w:val="both"/>
      </w:pPr>
      <w:r>
        <w:rPr>
          <w:vertAlign w:val="baseline"/>
        </w:rPr>
        <w:t xml:space="preserve">[60]</w:t>
      </w:r>
      <w:r>
        <w:rPr>
          <w:vertAlign w:val="baseline"/>
        </w:rPr>
        <w:t xml:space="preserve">          </w:t>
      </w:r>
      <w:r>
        <w:rPr>
          <w:vertAlign w:val="baseline"/>
        </w:rPr>
        <w:t xml:space="preserve">A bizonyítás eredményeként az elsőfokú bíróság nem csak a kanyarodási manőver tekintetében előadott terhelti vallomást, hanem a magánszakértőként felkért igazságügyi műszaki szakértő, az eljárásban eljáró igazságügyi szakértő véleményétől eltérő megállapításait sem fogadta el, annak okairól ítéletében maradéktalanul beszámolt.</w:t>
      </w:r>
    </w:p>
    <w:p>
      <w:pPr>
        <w:jc w:val="both"/>
      </w:pPr>
      <w:r>
        <w:rPr>
          <w:vertAlign w:val="baseline"/>
        </w:rPr>
        <w:t xml:space="preserve">[61]</w:t>
      </w:r>
      <w:r>
        <w:rPr>
          <w:vertAlign w:val="baseline"/>
        </w:rPr>
        <w:t xml:space="preserve">          </w:t>
      </w:r>
      <w:r>
        <w:rPr>
          <w:vertAlign w:val="baseline"/>
        </w:rPr>
        <w:t xml:space="preserve">A másodfokú bíróság mindemellett az ügy szempontjából lényeges megállapítást tett annak rögzítésével, hogy a szakértők tárgyaláson történő együttes meghallgatása során kialakult egyező álláspont alapján a terhelt és védője által delegált magánszakértő is akként nyilatkozott a tárgyaláson, hogy állandó lelassult kanyarodási sebesség mellett a terhelti gépjármű nem haladt volna ki a sértetti jármű elől, mindenképpen létrejött volna közöttük az ütközés még 40 km/h haladási sebesség mellett is {Szolnoki </w:t>
      </w:r>
      <w:r>
        <w:rPr>
          <w:vertAlign w:val="baseline"/>
        </w:rPr>
        <w:t xml:space="preserve">Törvényszék</w:t>
      </w:r>
      <w:r>
        <w:rPr>
          <w:vertAlign w:val="baseline"/>
        </w:rPr>
        <w:t xml:space="preserve"> </w:t>
      </w:r>
      <w:r>
        <w:rPr>
          <w:vertAlign w:val="baseline"/>
        </w:rPr>
        <w:t xml:space="preserve">1.Bf.88/2021/7</w:t>
      </w:r>
      <w:r>
        <w:rPr>
          <w:vertAlign w:val="baseline"/>
        </w:rPr>
        <w:t xml:space="preserve">. számú végzés [17] bekezdés}.</w:t>
      </w:r>
    </w:p>
    <w:p>
      <w:pPr>
        <w:jc w:val="both"/>
      </w:pPr>
      <w:r>
        <w:rPr>
          <w:vertAlign w:val="baseline"/>
        </w:rPr>
        <w:t xml:space="preserve">[62]</w:t>
      </w:r>
      <w:r>
        <w:rPr>
          <w:vertAlign w:val="baseline"/>
        </w:rPr>
        <w:t xml:space="preserve">          </w:t>
      </w:r>
      <w:r>
        <w:rPr>
          <w:vertAlign w:val="baseline"/>
        </w:rPr>
        <w:t xml:space="preserve">A </w:t>
      </w:r>
      <w:r>
        <w:rPr>
          <w:vertAlign w:val="baseline"/>
        </w:rPr>
        <w:t xml:space="preserve">Kúria</w:t>
      </w:r>
      <w:r>
        <w:rPr>
          <w:vertAlign w:val="baseline"/>
        </w:rPr>
        <w:t xml:space="preserve"> egyetértett a </w:t>
      </w:r>
      <w:r>
        <w:rPr>
          <w:vertAlign w:val="baseline"/>
        </w:rPr>
        <w:t xml:space="preserve">Legfőbb Ügyészség</w:t>
      </w:r>
      <w:r>
        <w:rPr>
          <w:vertAlign w:val="baseline"/>
        </w:rPr>
        <w:t xml:space="preserve"> azon érvelésével, hogy a terheltnek </w:t>
      </w:r>
      <w:r>
        <w:rPr>
          <w:vertAlign w:val="baseline"/>
        </w:rPr>
        <w:t xml:space="preserve">– </w:t>
      </w:r>
      <w:r>
        <w:rPr>
          <w:vertAlign w:val="baseline"/>
        </w:rPr>
        <w:t xml:space="preserve">az irányadó tényállás alapján – nappali időszakban, jó látási viszonyok között, az egyenes vonalvezetésű és belátásban nem korlátozott útszakaszon, az elsőbbségi pozícióban vele szemben közlekedő sértetti személygépkocsit folyamatosan figyelemmel kísérve, lakott területen kívül, kizárólag az útépítési munkálatok miatt sebességkorlátozás hatálya alá eső útszakaszon, figyelmes és körültekintő vezetés mellett, feltétlenül észlelnie kellett volna az aktuálisan irányadó 40 km/óra sebességhez képest annak kétszeresével haladó sértetti járművet. A terhelt az elsőbbségre jogosult sértett által vezetett személygépkocsi nyomvonalába behaladáskor a sértett tényleges, de a megengedett legnagyobb sebességgel haladásához viszonyítottan is féktávolságon belül közlekedett.</w:t>
      </w:r>
    </w:p>
    <w:p>
      <w:pPr>
        <w:jc w:val="both"/>
      </w:pPr>
      <w:r>
        <w:rPr>
          <w:vertAlign w:val="baseline"/>
        </w:rPr>
        <w:t xml:space="preserve">[63]</w:t>
      </w:r>
      <w:r>
        <w:rPr>
          <w:vertAlign w:val="baseline"/>
        </w:rPr>
        <w:t xml:space="preserve">          </w:t>
      </w:r>
      <w:r>
        <w:rPr>
          <w:vertAlign w:val="baseline"/>
        </w:rPr>
        <w:t xml:space="preserve">A </w:t>
      </w:r>
      <w:r>
        <w:rPr>
          <w:vertAlign w:val="baseline"/>
        </w:rPr>
        <w:t xml:space="preserve">Kúria</w:t>
      </w:r>
      <w:r>
        <w:rPr>
          <w:vertAlign w:val="baseline"/>
        </w:rPr>
        <w:t xml:space="preserve"> mindezek alapján osztotta a jogerős ítélet azon megállapításait is, mely szerint a terhelt volt az, aki a balra bekanyarodás megkezdése előtt elmulasztotta a megfelelő körültekintést annak veszélytelenségéről, és nem biztosított elsőbbséget az arra jogosult sértetti gépjárműnek. A sértetti gépjármű vezetője, a terhelt balra kanyarodási szándékának tényleges észlelhetőtőségére tekintettel </w:t>
      </w:r>
      <w:r>
        <w:rPr>
          <w:vertAlign w:val="baseline"/>
        </w:rPr>
        <w:t xml:space="preserve">a balesetet a megengedett legnagyobb sebességgel haladása esetén sem kerülhette volna el, így – ahogyan arra már fentebb történt utalás – a sértett sebességtúllépésben megnyilvánuló szabályszegő magatartása a baleset bekövetkezésével nem áll okozati összefüggésben.</w:t>
      </w:r>
    </w:p>
    <w:p>
      <w:pPr>
        <w:jc w:val="both"/>
      </w:pPr>
      <w:r>
        <w:rPr>
          <w:vertAlign w:val="baseline"/>
        </w:rPr>
        <w:t xml:space="preserve">[64]</w:t>
      </w:r>
      <w:r>
        <w:rPr>
          <w:vertAlign w:val="baseline"/>
        </w:rPr>
        <w:t xml:space="preserve">          </w:t>
      </w:r>
      <w:r>
        <w:rPr>
          <w:vertAlign w:val="baseline"/>
        </w:rPr>
        <w:t xml:space="preserve">A terhelt tehát a közúti közlekedés szabályainak megsértésével közlekedési balesetet okozott, amely során két személyt érintően halálos eredmény, két személy esetében pedig maradandó fogyatékossággal járó sérülés is bekövetkezett. A baleset és az elhalálozások, valamint bekövetkezett sérülések között közvetlen az ok-okozati összefüggés, annak ellenére, hogy sértettek a biztonsági öv használatával a </w:t>
      </w:r>
      <w:r>
        <w:rPr>
          <w:vertAlign w:val="baseline"/>
        </w:rPr>
        <w:t xml:space="preserve">KRESZ</w:t>
      </w:r>
      <w:r>
        <w:rPr>
          <w:vertAlign w:val="baseline"/>
        </w:rPr>
        <w:t xml:space="preserve"> 48. § (4) bekezdésben írt szabályt szegték meg.</w:t>
      </w:r>
    </w:p>
    <w:p>
      <w:pPr>
        <w:jc w:val="both"/>
      </w:pPr>
      <w:r>
        <w:rPr>
          <w:vertAlign w:val="baseline"/>
        </w:rPr>
        <w:t xml:space="preserve">[65]</w:t>
      </w:r>
      <w:r>
        <w:rPr>
          <w:vertAlign w:val="baseline"/>
        </w:rPr>
        <w:t xml:space="preserve">          </w:t>
      </w:r>
      <w:r>
        <w:rPr>
          <w:vertAlign w:val="baseline"/>
        </w:rPr>
        <w:t xml:space="preserve">Mindez</w:t>
      </w:r>
      <w:r>
        <w:rPr>
          <w:vertAlign w:val="baseline"/>
        </w:rPr>
        <w:t xml:space="preserve"> az okozati összefüggés tekintetében csak közreható okként vehető számításba, a jogi minősítés szempontjából jelentőséggel nem bír. Indokolásában a másodfokú bíróság külön kitért arra, hogy az elsőfokú bíróság helytállóan hivatkozott a kialakult bírói gyakorlatra, amely szerint a sértettek halálát, illetőleg maradandó fogyatékosságát eredményező okfolyamatot, magát a balesetet a terhelt idézte elő, az kizárólag az ő közlekedési szabályszegésének tudható be, ahhoz további közreható okként társult csupán a biztonsági öv használatának elmulasztása.</w:t>
      </w:r>
    </w:p>
    <w:p>
      <w:pPr>
        <w:jc w:val="both"/>
      </w:pPr>
      <w:r>
        <w:rPr>
          <w:vertAlign w:val="baseline"/>
        </w:rPr>
        <w:t xml:space="preserve">[66]</w:t>
      </w:r>
      <w:r>
        <w:rPr>
          <w:vertAlign w:val="baseline"/>
        </w:rPr>
        <w:t xml:space="preserve">          </w:t>
      </w:r>
      <w:r>
        <w:rPr>
          <w:vertAlign w:val="baseline"/>
        </w:rPr>
        <w:t xml:space="preserve">Közúti</w:t>
      </w:r>
      <w:r>
        <w:rPr>
          <w:vertAlign w:val="baseline"/>
        </w:rPr>
        <w:t xml:space="preserve"> baleset gondatlan okozása vétségénél a közúti közlekedés szabályainak a megszegése és az eredmény közötti okozati összefüggés akkor is megállapítható, ha a terheltnek az okfolyamatot elindító és az eredményhez vezető </w:t>
      </w:r>
      <w:r>
        <w:rPr>
          <w:vertAlign w:val="baseline"/>
        </w:rPr>
        <w:t xml:space="preserve">KRESZ</w:t>
      </w:r>
      <w:r>
        <w:rPr>
          <w:vertAlign w:val="baseline"/>
        </w:rPr>
        <w:t xml:space="preserve"> szabályszegéséhez az elkövetőtől független további közreható ok is társul (EBH </w:t>
      </w:r>
      <w:r>
        <w:rPr>
          <w:vertAlign w:val="baseline"/>
        </w:rPr>
        <w:t xml:space="preserve">2005.1291.).</w:t>
      </w:r>
      <w:r>
        <w:rPr>
          <w:vertAlign w:val="baseline"/>
        </w:rPr>
        <w:t xml:space="preserve"> Az okfolyamatot elindító tényező (emberi magatartás) büntetőjogi felelősséget megalapozó jelentőségén nem változtat az együttes okként (concausa) vagy feltételként közreható körülmény(ek) hatása (BH </w:t>
      </w:r>
      <w:r>
        <w:rPr>
          <w:vertAlign w:val="baseline"/>
        </w:rPr>
        <w:t xml:space="preserve">1982.179.,</w:t>
      </w:r>
      <w:r>
        <w:rPr>
          <w:vertAlign w:val="baseline"/>
        </w:rPr>
        <w:t xml:space="preserve"> </w:t>
      </w:r>
      <w:r>
        <w:rPr>
          <w:vertAlign w:val="baseline"/>
        </w:rPr>
        <w:t xml:space="preserve">BH</w:t>
      </w:r>
      <w:r>
        <w:rPr>
          <w:vertAlign w:val="baseline"/>
        </w:rPr>
        <w:t xml:space="preserve"> </w:t>
      </w:r>
      <w:r>
        <w:rPr>
          <w:vertAlign w:val="baseline"/>
        </w:rPr>
        <w:t xml:space="preserve">1993.7.).</w:t>
      </w:r>
      <w:r>
        <w:rPr>
          <w:vertAlign w:val="baseline"/>
        </w:rPr>
        <w:t xml:space="preserve"> Ezért a terhelt büntetőjogi felelősségének megállapítására a büntető anyagi jog szabályaival összhangban került sor.</w:t>
      </w:r>
    </w:p>
    <w:p>
      <w:pPr>
        <w:jc w:val="both"/>
      </w:pPr>
      <w:r>
        <w:rPr>
          <w:vertAlign w:val="baseline"/>
        </w:rPr>
        <w:t xml:space="preserve">[67]</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 mivel nem észlelt olyan eljárási szabálysértést, aminek vizsgálatára a </w:t>
      </w:r>
      <w:r>
        <w:rPr>
          <w:vertAlign w:val="baseline"/>
        </w:rPr>
        <w:t xml:space="preserve">Be.</w:t>
      </w:r>
      <w:r>
        <w:rPr>
          <w:vertAlign w:val="baseline"/>
        </w:rPr>
        <w:t xml:space="preserve"> 659. § (6) bekezdése alapján hivatalból köteles – a </w:t>
      </w:r>
      <w:r>
        <w:rPr>
          <w:vertAlign w:val="baseline"/>
        </w:rPr>
        <w:t xml:space="preserve">Be.</w:t>
      </w:r>
      <w:r>
        <w:rPr>
          <w:vertAlign w:val="baseline"/>
        </w:rPr>
        <w:t xml:space="preserve"> 660. § (1) bekezdésének főszabálya alapján tanácsülésen – a </w:t>
      </w:r>
      <w:r>
        <w:rPr>
          <w:vertAlign w:val="baseline"/>
        </w:rPr>
        <w:t xml:space="preserve">Be.</w:t>
      </w:r>
      <w:r>
        <w:rPr>
          <w:vertAlign w:val="baseline"/>
        </w:rPr>
        <w:t xml:space="preserve"> 655. § (1) bekezdésének főszabálya szerinti összetételben eljárva – a megtámadott határozatot a </w:t>
      </w:r>
      <w:r>
        <w:rPr>
          <w:vertAlign w:val="baseline"/>
        </w:rPr>
        <w:t xml:space="preserve">Be.</w:t>
      </w:r>
      <w:r>
        <w:rPr>
          <w:vertAlign w:val="baseline"/>
        </w:rPr>
        <w:t xml:space="preserve"> 662. § (1) bekezdése alapján hatályában fenntartotta. </w:t>
      </w:r>
    </w:p>
    <w:p>
      <w:pPr>
        <w:jc w:val="both"/>
      </w:pPr>
      <w:r>
        <w:rPr>
          <w:vertAlign w:val="baseline"/>
        </w:rPr>
        <w:t xml:space="preserve">[68]</w:t>
      </w:r>
      <w:r>
        <w:rPr>
          <w:vertAlign w:val="baseline"/>
        </w:rPr>
        <w:t xml:space="preserve">          </w:t>
      </w:r>
      <w:r>
        <w:rPr>
          <w:b/>
          <w:vertAlign w:val="baseline"/>
        </w:rPr>
        <w:t xml:space="preserve">IV.</w:t>
      </w:r>
      <w:r>
        <w:rPr>
          <w:vertAlign w:val="baseline"/>
        </w:rPr>
        <w:t xml:space="preserve"> A végzés ellen a </w:t>
      </w:r>
      <w:r>
        <w:rPr>
          <w:vertAlign w:val="baseline"/>
        </w:rPr>
        <w:t xml:space="preserve">Be.</w:t>
      </w:r>
      <w:r>
        <w:rPr>
          <w:vertAlign w:val="baseline"/>
        </w:rPr>
        <w:t xml:space="preserve"> 6. § (4) bekezdése alapján nincs helye fellebbezésnek; felülvizsgálatát a </w:t>
      </w:r>
      <w:r>
        <w:rPr>
          <w:vertAlign w:val="baseline"/>
        </w:rPr>
        <w:t xml:space="preserve">Be.</w:t>
      </w:r>
      <w:r>
        <w:rPr>
          <w:vertAlign w:val="baseline"/>
        </w:rPr>
        <w:t xml:space="preserve"> 650. § (1) bekezdés b) pont második fordulata zárja ki.</w:t>
      </w:r>
    </w:p>
    <w:p>
      <w:pPr>
        <w:jc w:val="both"/>
      </w:pPr>
      <w:r>
        <w:rPr>
          <w:vertAlign w:val="baseline"/>
        </w:rPr>
        <w:t xml:space="preserve">[69]</w:t>
      </w:r>
      <w:r>
        <w:rPr>
          <w:vertAlign w:val="baseline"/>
        </w:rPr>
        <w:t xml:space="preserve">          </w:t>
      </w:r>
      <w:r>
        <w:rPr>
          <w:vertAlign w:val="baseline"/>
        </w:rPr>
        <w:t xml:space="preserve">A </w:t>
      </w:r>
      <w:r>
        <w:rPr>
          <w:vertAlign w:val="baseline"/>
        </w:rPr>
        <w:t xml:space="preserve">Be.</w:t>
      </w:r>
      <w:r>
        <w:rPr>
          <w:vertAlign w:val="baseline"/>
        </w:rPr>
        <w:t xml:space="preserve"> 652. § (6) bekezdése szerint minden jogosult csak egyszer nyújthat be felülvizsgálati indítványt, kivéve, ha az újabb felülvizsgálati indítvány benyújtása a </w:t>
      </w:r>
      <w:r>
        <w:rPr>
          <w:vertAlign w:val="baseline"/>
        </w:rPr>
        <w:t xml:space="preserve">Be.</w:t>
      </w:r>
      <w:r>
        <w:rPr>
          <w:vertAlign w:val="baseline"/>
        </w:rPr>
        <w:t xml:space="preserve"> 649. § </w:t>
      </w:r>
      <w:r>
        <w:rPr>
          <w:vertAlign w:val="baseline"/>
        </w:rPr>
        <w:t xml:space="preserve">(3)-(5)</w:t>
      </w:r>
      <w:r>
        <w:rPr>
          <w:vertAlign w:val="baseline"/>
        </w:rPr>
        <w:t xml:space="preserve"> bekezdésén alapul. A </w:t>
      </w:r>
      <w:r>
        <w:rPr>
          <w:vertAlign w:val="baseline"/>
        </w:rPr>
        <w:t xml:space="preserve">Be.</w:t>
      </w:r>
      <w:r>
        <w:rPr>
          <w:vertAlign w:val="baseline"/>
        </w:rPr>
        <w:t xml:space="preserve"> 656. § (4) bekezdése pedig akként rendelkezik, hogy az ugyanazon jogosult által ismételten vagy más jogosult által azonos tartalommal előterjesztett indítványt a </w:t>
      </w:r>
      <w:r>
        <w:rPr>
          <w:vertAlign w:val="baseline"/>
        </w:rPr>
        <w:t xml:space="preserve">Kúria</w:t>
      </w:r>
      <w:r>
        <w:rPr>
          <w:vertAlign w:val="baseline"/>
        </w:rPr>
        <w:t xml:space="preserve"> érdemi indokolás nélkül elutasíthatja.</w:t>
      </w:r>
    </w:p>
    <w:p>
      <w:pPr>
        <w:jc w:val="left"/>
      </w:pPr>
      <w:r>
        <w:rPr>
          <w:vertAlign w:val="baseline"/>
        </w:rPr>
        <w:t xml:space="preserve"> </w:t>
      </w:r>
      <w:r>
        <w:br/>
      </w:r>
    </w:p>
    <w:p>
      <w:pPr>
        <w:jc w:val="both"/>
      </w:pPr>
      <w:r>
        <w:rPr>
          <w:vertAlign w:val="baseline"/>
        </w:rPr>
        <w:t xml:space="preserve">Budapest, 2022. szeptember 8.</w:t>
      </w:r>
    </w:p>
    <w:p>
      <w:pPr>
        <w:jc w:val="left"/>
      </w:pPr>
      <w:r>
        <w:rPr>
          <w:vertAlign w:val="baseline"/>
        </w:rPr>
        <w:t xml:space="preserve"> </w:t>
      </w:r>
      <w:r>
        <w:br/>
      </w:r>
    </w:p>
    <w:p>
      <w:pPr>
        <w:jc w:val="both"/>
      </w:pPr>
      <w:r>
        <w:rPr>
          <w:vertAlign w:val="baseline"/>
        </w:rPr>
        <w:t xml:space="preserve">Dr. Harangozó Attila</w:t>
      </w:r>
      <w:r>
        <w:rPr>
          <w:vertAlign w:val="baseline"/>
        </w:rPr>
        <w:t xml:space="preserve"> s.k. a tanács elnöke, </w:t>
      </w:r>
      <w:r>
        <w:rPr>
          <w:vertAlign w:val="baseline"/>
        </w:rPr>
        <w:t xml:space="preserve">Dr. Demeter Zsuzsanna</w:t>
      </w:r>
      <w:r>
        <w:rPr>
          <w:vertAlign w:val="baseline"/>
        </w:rPr>
        <w:t xml:space="preserve"> s.k. előadó bíró, </w:t>
      </w:r>
      <w:r>
        <w:rPr>
          <w:vertAlign w:val="baseline"/>
        </w:rPr>
        <w:t xml:space="preserve">Dr. Somogyi Gábor</w:t>
      </w:r>
      <w:r>
        <w:rPr>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2.Bfv.1.238/2021/7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