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                      </w:t>
      </w:r>
      <w:r>
        <w:br/>
      </w:r>
      <w:r>
        <w:rPr>
          <w:b/>
          <w:vertAlign w:val="baseline"/>
        </w:rPr>
        <w:t xml:space="preserve"> mint felülvizsgálati bíróság</w:t>
      </w: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Kfv.V.37.535/2022/2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Dr. Márton Gizella</w:t>
      </w:r>
      <w:r>
        <w:rPr>
          <w:vertAlign w:val="baseline"/>
        </w:rPr>
        <w:t xml:space="preserve"> a tanács elnöke</w:t>
      </w: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Ságiné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Márkus Anett</w:t>
      </w:r>
      <w:r>
        <w:rPr>
          <w:vertAlign w:val="baseline"/>
        </w:rPr>
        <w:t xml:space="preserve"> előadó bíró</w:t>
      </w: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Dr. Darák Péter</w:t>
      </w:r>
      <w:r>
        <w:rPr>
          <w:vertAlign w:val="baseline"/>
        </w:rPr>
        <w:t xml:space="preserve"> bíró</w:t>
      </w: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Dr. Demjén Péter</w:t>
      </w:r>
      <w:r>
        <w:rPr>
          <w:vertAlign w:val="baseline"/>
        </w:rPr>
        <w:t xml:space="preserve"> bíró</w:t>
      </w: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Dr. Drávecz Margit Gyöngyvér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felperes1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 </w:t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Sindler Ügyvédi Iroda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jogi képviselő1</w:t>
      </w:r>
      <w:r>
        <w:rPr>
          <w:vertAlign w:val="baseline"/>
        </w:rPr>
        <w:t xml:space="preserve"> ügyvéd;   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       </w:t>
      </w:r>
      <w:r>
        <w:rPr>
          <w:vertAlign w:val="baseline"/>
        </w:rPr>
        <w:t xml:space="preserve">Veszprém Megyei Kormányhivatal</w:t>
      </w:r>
      <w:r>
        <w:rPr>
          <w:vertAlign w:val="baseline"/>
        </w:rPr>
        <w:t xml:space="preserve"> </w:t>
      </w:r>
      <w:r>
        <w:rPr>
          <w:b/>
          <w:vertAlign w:val="baseline"/>
        </w:rPr>
        <w:t xml:space="preserve">  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b/>
          <w:vertAlign w:val="baseline"/>
        </w:rPr>
        <w:t xml:space="preserve">Az alperes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dr. Antal Helga</w:t>
      </w:r>
      <w:r>
        <w:rPr>
          <w:vertAlign w:val="baseline"/>
        </w:rPr>
        <w:t xml:space="preserve"> kamarai jogtanácsos </w:t>
      </w:r>
    </w:p>
    <w:p>
      <w:pPr>
        <w:jc w:val="both"/>
      </w:pPr>
      <w:r>
        <w:rPr>
          <w:b/>
          <w:vertAlign w:val="baseline"/>
        </w:rPr>
        <w:t xml:space="preserve">Az alperesi érdekelt</w:t>
      </w:r>
      <w:r>
        <w:rPr>
          <w:vertAlign w:val="baseline"/>
        </w:rPr>
        <w:t xml:space="preserve">: 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érdekelt1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(</w:t>
      </w:r>
      <w:r>
        <w:rPr>
          <w:vertAlign w:val="baseline"/>
        </w:rPr>
        <w:t xml:space="preserve">cím4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b/>
          <w:vertAlign w:val="baseline"/>
        </w:rPr>
        <w:t xml:space="preserve">Az alperesi érdekelt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Mester Csaba Ügyvédi Iroda</w:t>
      </w:r>
      <w:r>
        <w:rPr>
          <w:vertAlign w:val="baseline"/>
        </w:rPr>
        <w:t xml:space="preserve"> (</w:t>
      </w:r>
      <w:r>
        <w:rPr>
          <w:vertAlign w:val="baseline"/>
        </w:rPr>
        <w:t xml:space="preserve">jogi képviselő2 ügyvéd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cím5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b/>
          <w:vertAlign w:val="baseline"/>
        </w:rPr>
        <w:t xml:space="preserve"> </w:t>
      </w:r>
      <w:r>
        <w:rPr>
          <w:b/>
          <w:vertAlign w:val="baseline"/>
        </w:rPr>
        <w:t xml:space="preserve">A per tárgya: </w:t>
      </w:r>
      <w:r>
        <w:rPr>
          <w:b/>
          <w:vertAlign w:val="baseline"/>
        </w:rPr>
        <w:t xml:space="preserve">                      </w:t>
      </w:r>
      <w:r>
        <w:rPr>
          <w:vertAlign w:val="baseline"/>
        </w:rPr>
        <w:t xml:space="preserve">családtámogatási tárgyú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közigazgatási jogvita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a felperes</w:t>
      </w:r>
    </w:p>
    <w:p>
      <w:pPr>
        <w:jc w:val="both"/>
      </w:pPr>
      <w:r>
        <w:rPr>
          <w:b/>
          <w:vertAlign w:val="baseline"/>
        </w:rPr>
        <w:t xml:space="preserve">A felülvizsgálni kért határozat: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Veszprémi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7.K.700.007/2022/12</w:t>
      </w:r>
      <w:r>
        <w:rPr>
          <w:vertAlign w:val="baseline"/>
        </w:rPr>
        <w:t xml:space="preserve">. </w:t>
      </w:r>
      <w:r>
        <w:rPr>
          <w:vertAlign w:val="baseline"/>
        </w:rPr>
        <w:t xml:space="preserve">számú ítélete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felperes felülvizsgálati kérelmének befogadását megtagadja.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 végzés ellen további perorvoslatnak nincs helye.</w:t>
      </w:r>
    </w:p>
    <w:p>
      <w:pPr>
        <w:jc w:val="center"/>
      </w:pPr>
      <w:r>
        <w:rPr>
          <w:b/>
          <w:vertAlign w:val="baseline"/>
        </w:rPr>
        <w:t xml:space="preserve">I n d o k o l á s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felülvizsgálati ügy előzménye, a keresetlevél és a védiratok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és az alperesi érdekelt (a továbbiakban: érdekelt) élettársi kapcsolatából született </w:t>
      </w:r>
      <w:r>
        <w:rPr>
          <w:vertAlign w:val="baseline"/>
        </w:rPr>
        <w:t xml:space="preserve">dátum1</w:t>
      </w:r>
      <w:r>
        <w:rPr>
          <w:vertAlign w:val="baseline"/>
        </w:rPr>
        <w:t xml:space="preserve"> napján </w:t>
      </w:r>
      <w:r>
        <w:rPr>
          <w:vertAlign w:val="baseline"/>
        </w:rPr>
        <w:t xml:space="preserve">név1</w:t>
      </w:r>
      <w:r>
        <w:rPr>
          <w:vertAlign w:val="baseline"/>
        </w:rPr>
        <w:t xml:space="preserve"> nevű gyermekük, az ő elhelyezése vonatkozásában a szülők 2017. április 21. napján megállapodást kötöttek </w:t>
      </w:r>
      <w:r>
        <w:rPr>
          <w:vertAlign w:val="baseline"/>
        </w:rPr>
        <w:t xml:space="preserve">név2</w:t>
      </w:r>
      <w:r>
        <w:rPr>
          <w:vertAlign w:val="baseline"/>
        </w:rPr>
        <w:t xml:space="preserve"> ügyvéd előtt. Ennek értelmében a gyermek az érdekeltnél kerül elhelyezésre, és ezáltal felette a szülői felügyeleti jogot az érdekelt gyakorolja. A szülők a megállapodás ellenére a gyermeket heti váltásban gondozzák, a szülői felügyeleti jogot ténylegesen közösen gyakorolják a megállapodás megkötése óta.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Veszprémi Járásbíróság</w:t>
      </w:r>
      <w:r>
        <w:rPr>
          <w:vertAlign w:val="baseline"/>
        </w:rPr>
        <w:t xml:space="preserve"> a 2021. július 6. napján meghozott </w:t>
      </w:r>
      <w:r>
        <w:rPr>
          <w:vertAlign w:val="baseline"/>
        </w:rPr>
        <w:t xml:space="preserve">8.P.20.755/2018/150</w:t>
      </w:r>
      <w:r>
        <w:rPr>
          <w:vertAlign w:val="baseline"/>
        </w:rPr>
        <w:t xml:space="preserve">-I. számú ítéletével a gyermek feletti szülői felügyeleti jog gyakorlására kizárólagosan a felperest jogosította fel, és az érdekeltet gyermektartásdíj megfizetésére kötelezte. Az ítélet ellen az érdekelt fellebbezést terjesztett elő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Ezen</w:t>
      </w:r>
      <w:r>
        <w:rPr>
          <w:vertAlign w:val="baseline"/>
        </w:rPr>
        <w:t xml:space="preserve"> ítélet jogerőre emelkedése előtt, az ítélet rendelkező részét tartalmazó első oldala becsatolása mellett a felperes 2</w:t>
      </w:r>
      <w:r>
        <w:rPr>
          <w:vertAlign w:val="baseline"/>
        </w:rPr>
        <w:t xml:space="preserve">021. augusztus 23. napján k</w:t>
      </w:r>
      <w:r>
        <w:rPr>
          <w:vertAlign w:val="baseline"/>
        </w:rPr>
        <w:t xml:space="preserve">érelmet terjesztett elő az alperesnél, amelyben 2021. július 1. napjától kérte a gyermek után járó családi pótlék számára történő folyósítását, egyebek között arra hivatkozással, hogy a gyermeket saját háztartásában gondozza és a lakcímük megegyezik.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</w:t>
      </w:r>
      <w:r>
        <w:rPr>
          <w:vertAlign w:val="baseline"/>
        </w:rPr>
        <w:t xml:space="preserve">az eljárása során beszerezte az érdekelt nyilatkozatát, aki előadta, hogy a gyermeket heti váltásban nevelik, míg a gyermek lakcímét a felperes önkényesen változtatta meg.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Ezt</w:t>
      </w:r>
      <w:r>
        <w:rPr>
          <w:vertAlign w:val="baseline"/>
        </w:rPr>
        <w:t xml:space="preserve"> követően hozta meg az alperes a </w:t>
      </w:r>
      <w:r>
        <w:rPr>
          <w:vertAlign w:val="baseline"/>
        </w:rPr>
        <w:t xml:space="preserve">T-VE-</w:t>
      </w:r>
      <w:r>
        <w:rPr>
          <w:vertAlign w:val="baseline"/>
        </w:rPr>
        <w:t xml:space="preserve">CST-264</w:t>
      </w:r>
      <w:r>
        <w:rPr>
          <w:vertAlign w:val="baseline"/>
        </w:rPr>
        <w:t xml:space="preserve">87-4/2021. iktatószámú határozatát, amellyel a felperes kérelmét elutasította. Indokolása szerint a felperes kérelme idő előtti, mert a felperest a szülői felügyeleti jog gyakorlására feljogosító rendelkezés nem emelkedett a döntés meghozatalának a napjáig jogerőre.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keresetlevelet terjesztett elő </w:t>
      </w:r>
      <w:r>
        <w:rPr>
          <w:vertAlign w:val="baseline"/>
        </w:rPr>
        <w:t xml:space="preserve">az alperesi határozat jogszerűségének vizsgálata iránt, melyben el</w:t>
      </w:r>
      <w:r>
        <w:rPr>
          <w:vertAlign w:val="baseline"/>
        </w:rPr>
        <w:t xml:space="preserve">sődlegesen a határozat kérelemben foglaltak szerinti megváltoztatását, másodlagosan – a kereset tartalmából kitűnően – az alperesi határozat megsemmisítését és az alperes új eljárásra kötelezését kérte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A keresetében az általános közigazgatási rendtartásról szóló 2016. évi </w:t>
      </w:r>
      <w:r>
        <w:rPr>
          <w:vertAlign w:val="baseline"/>
        </w:rPr>
        <w:t xml:space="preserve">CL.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) 1. és 2. §-aiban foglalt alapelvek sérelmére, valamint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62. §-ban foglalt tényállás tisztázási kötelezettség megsértését állította, és kiemelte: a kérelmét nem az idő előttinek tekintett ítéletre, hanem azon tényre alapította, hogy a közhiteles lakcímnyilvántartásban megváltozott a gyermek lakóhelye, másrészt a </w:t>
      </w:r>
      <w:r>
        <w:rPr>
          <w:vertAlign w:val="baseline"/>
        </w:rPr>
        <w:t xml:space="preserve">Veszprémi Törvényszéknek</w:t>
      </w:r>
      <w:r>
        <w:rPr>
          <w:vertAlign w:val="baseline"/>
        </w:rPr>
        <w:t xml:space="preserve"> a szülői felügyelettel kapcsolatos perében hozott másodfokú végzéseire (</w:t>
      </w:r>
      <w:r>
        <w:rPr>
          <w:vertAlign w:val="baseline"/>
        </w:rPr>
        <w:t xml:space="preserve">1.Pkf.20.861/2019/3</w:t>
      </w:r>
      <w:r>
        <w:rPr>
          <w:vertAlign w:val="baseline"/>
        </w:rPr>
        <w:t xml:space="preserve">. és </w:t>
      </w:r>
      <w:r>
        <w:rPr>
          <w:vertAlign w:val="baseline"/>
        </w:rPr>
        <w:t xml:space="preserve">1.Pkf.20.641/2020/6</w:t>
      </w:r>
      <w:r>
        <w:rPr>
          <w:vertAlign w:val="baseline"/>
        </w:rPr>
        <w:t xml:space="preserve">. számú végzések), melyek megállapítják, hogy a felek között közös szülői felügyeleti jog van érvényben a megállapodásukban írtak ellenére. Többek között sérelmezte, hogy az alperes családi pótlék tárgyában hozott korábbi határozatokban kizárólag a bejelentett lakcímnek tulajdonított jelentőséget, az ő esetében pedig éppen ettől tekintett el.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a védiratában a kereset elutasítását kérte és arra hivatkozott, hogy a közigazgatási eljárás során nem nyert bizonyítást, hogy a felperes kizárólagosan a saját háztartásában gondoskodik a gyermekről.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alperesi érdekelt a kereset elutasítását indítványozta.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jogerős ítélet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elsőfokú bíróság a jogerős ítéletével a felperes keresetét elutasította. Indokolása szerint abban a kérdésben kellett állást foglalnia, hogy</w:t>
      </w:r>
      <w:r>
        <w:rPr>
          <w:vertAlign w:val="baseline"/>
        </w:rPr>
        <w:t xml:space="preserve"> az</w:t>
      </w:r>
      <w:r>
        <w:rPr>
          <w:vertAlign w:val="baseline"/>
        </w:rPr>
        <w:t xml:space="preserve"> alperes helytállóan állapította-e meg: a felperes esetében a családok támogatásáról szóló 1998. évi </w:t>
      </w:r>
      <w:r>
        <w:rPr>
          <w:vertAlign w:val="baseline"/>
        </w:rPr>
        <w:t xml:space="preserve">LXXXIV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Cst.</w:t>
      </w:r>
      <w:r>
        <w:rPr>
          <w:vertAlign w:val="baseline"/>
        </w:rPr>
        <w:t xml:space="preserve">) 4. § k) pontja alapján a kiskorú gyermekek saját háztartásban való gondozása nem valósult meg, így a családi pótlék folyósítására nem jogosult; illetve, hogy önmagában a felperes lakcíme megalapozza-e a felperes jogosultságát.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egyetértett az alperes döntésében foglaltakkal, mely szerint önmagában a lakcím egyezése nem jelenti azt, hogy azon a felperes a gyermeket ténylegesen és életvitelszerűen gondozza. Továbbá, mivel a </w:t>
      </w:r>
      <w:r>
        <w:rPr>
          <w:vertAlign w:val="baseline"/>
        </w:rPr>
        <w:t xml:space="preserve">Cst.</w:t>
      </w:r>
      <w:r>
        <w:rPr>
          <w:vertAlign w:val="baseline"/>
        </w:rPr>
        <w:t xml:space="preserve"> 9. § (1) bekezdése folytán több jogosult esetén csak egyik igényelheti a támogatást, és egy korábban meghozott, véglegessé vált határozatban az érdekelt családi pótlékra való jogosultsága megállapítást nyert, így a felperesi kérelem teljesítésére csak akkor kerülhet sor, ha az érdekelt jogosultsága megszűnik, vagyis a gyermek kikerül a gondozásából. Ilyet pedig a felperes az eljárás során nem állított. Kizárólag egy regisztratív aktus (lakcímbejelentést) meglétére alapította igényét. A jogerős ítélet rögzítette még, hogy a felperes iratellenesen hivatkozott arra, hogy kérelmét a </w:t>
      </w:r>
      <w:r>
        <w:rPr>
          <w:vertAlign w:val="baseline"/>
        </w:rPr>
        <w:t xml:space="preserve">Veszprémi Törvényszék</w:t>
      </w:r>
      <w:r>
        <w:rPr>
          <w:vertAlign w:val="baseline"/>
        </w:rPr>
        <w:t xml:space="preserve"> másodfokú eljárásban hozott határozataira alapította volna, mert kérelméhez kizárólag az elsőfokú ítélet első oldalát mellékelte és a végzésekre először csak a perben hivatkozott.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kérelem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jogerős ítélettel szemben a felperes terjesztett elő felülvizsgálati kérelmet, melyben az ügy érdemére kiható jogszabálysértésre hivatkozással kérte a jogerős ítélet hatályon kívül helyezését és az elsőfokú bíróság új eljárás lefolytatására és új határozat hozatalára utasítását.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kérelem befogadásának jogszabályi alapjaként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118. § (1) bekezdés a) pont aa) és ab) alpontjait jelölte meg. Kiemelte, hogy nincs egységes gyakorlat avagy a jogalkalmazó számára is követhető jogértelmezés a különélő szülők által közösen gyakorolt szülői felügyelet esetén a </w:t>
      </w:r>
      <w:r>
        <w:rPr>
          <w:vertAlign w:val="baseline"/>
        </w:rPr>
        <w:t xml:space="preserve">Cst.</w:t>
      </w:r>
      <w:r>
        <w:rPr>
          <w:vertAlign w:val="baseline"/>
        </w:rPr>
        <w:t xml:space="preserve"> 5. § a) pontja szerinti családi pótlék igénybevétele tekintetében; mely kérdés az ún. váltott gondoskodás esetén különös társadalmi jelentőséggel bírhat.</w:t>
      </w:r>
      <w:r>
        <w:rPr>
          <w:vertAlign w:val="baseline"/>
        </w:rPr>
        <w:t xml:space="preserve">   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felülvizsgálati kérelmének befogadásra – az alábbiak szerint – nincs lehetőség.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117. § (4) bekezdése értelmében a felülvizsgálati kérelemben meg kell jelölni a kérelem befogadhatóságának okát, azonban annak fennállását bizonyítani és azt – a 118. § (1) bekezdés a) pont ad) alpontja szerinti ok kivételével – indokolni nem kell. A 118. § (1) bekezdés b) pontja szerinti ok esetében meg kell jelölni azt a közzétett kúriai határozatot és annak azt a részét, amelytől a felülvizsgálni kért határozat jogkérdésben eltér. A fél által megjelölt befogadhatósági okhoz a bíróság nincs kötve.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szerint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akkor fogadja be, ha</w:t>
      </w:r>
    </w:p>
    <w:p>
      <w:pPr>
        <w:jc w:val="both"/>
      </w:pPr>
      <w:r>
        <w:rPr>
          <w:vertAlign w:val="baseline"/>
        </w:rPr>
        <w:t xml:space="preserve">a) az ügy érdemére kiható jogszabálysértés vizsgálata</w:t>
      </w:r>
    </w:p>
    <w:p>
      <w:pPr>
        <w:jc w:val="both"/>
      </w:pPr>
      <w:r>
        <w:rPr>
          <w:vertAlign w:val="baseline"/>
        </w:rPr>
        <w:t xml:space="preserve"> 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aa) a joggyakorlat egységének vagy továbbfejlesztésének biztosítása,</w:t>
      </w:r>
    </w:p>
    <w:p>
      <w:pPr>
        <w:jc w:val="both"/>
      </w:pPr>
      <w:r>
        <w:rPr>
          <w:vertAlign w:val="baseline"/>
        </w:rPr>
        <w:t xml:space="preserve"> 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ab) a felvetett jogkérdés különleges súlya, illetve társadalmi jelentősége,</w:t>
      </w:r>
    </w:p>
    <w:p>
      <w:pPr>
        <w:jc w:val="both"/>
      </w:pPr>
      <w:r>
        <w:rPr>
          <w:vertAlign w:val="baseline"/>
        </w:rPr>
        <w:t xml:space="preserve"> 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ac) az </w:t>
      </w:r>
      <w:r>
        <w:rPr>
          <w:vertAlign w:val="baseline"/>
        </w:rPr>
        <w:t xml:space="preserve">Európai Unió Bírósága</w:t>
      </w:r>
      <w:r>
        <w:rPr>
          <w:vertAlign w:val="baseline"/>
        </w:rPr>
        <w:t xml:space="preserve"> előzetes döntéshozatali eljárásának szükségessége,</w:t>
      </w:r>
    </w:p>
    <w:p>
      <w:pPr>
        <w:jc w:val="both"/>
      </w:pPr>
      <w:r>
        <w:rPr>
          <w:vertAlign w:val="baseline"/>
        </w:rPr>
        <w:t xml:space="preserve"> 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ad) a kérelmező alapvető eljárási jogának valószínűsíthető sérelme, vagy az ügy érdemére kiható egyéb eljárási szabályszegés, illetve</w:t>
      </w:r>
    </w:p>
    <w:p>
      <w:pPr>
        <w:jc w:val="both"/>
      </w:pPr>
      <w:r>
        <w:rPr>
          <w:vertAlign w:val="baseline"/>
        </w:rPr>
        <w:t xml:space="preserve">b)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való eltérés</w:t>
      </w:r>
    </w:p>
    <w:p>
      <w:pPr>
        <w:jc w:val="both"/>
      </w:pPr>
      <w:r>
        <w:rPr>
          <w:vertAlign w:val="baseline"/>
        </w:rPr>
        <w:t xml:space="preserve">miatt indokolt.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 a) pont aa) alpontja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akkor fogadja be, ha az ügy érdemére kiható jogszabálysértés vizsgálata a joggyakorlat egységének vagy továbbfejlesztésének biztosítása </w:t>
      </w:r>
      <w:r>
        <w:rPr>
          <w:vertAlign w:val="baseline"/>
        </w:rPr>
        <w:t xml:space="preserve">miatt indokolt.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joggyakorlat egységének, illetve a joggyakorlat továbbfejlesztésének biztosítása befogadási okok elkülönülnek egymástól.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joggyakorlat egységének biztosítására érdekében a felülvizsgálati kérelmet akkor fogadja be, ha a bírói gyakorlat nem egységes, illetve a befogadási kérelemben megjelölt okokból a jogerős ítélet folytán a jogegység sérült, vagy sérülhet. A joggyakorlat továbbfejlesztésének biztosítása érdekében a felülvizsgálati kérelem érdemi elbírálására akkor kerül sor, amennyiben a kialakult és egységes bírói gyakorlat a befogadási kérelemben megfogalmazott elvi ok(ok)ból történő változtatása indokolt lehet, vagy olyan új jogkérdés merült fel a perben, amely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állásfoglalását igényli.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felvetett jogkérdés különleges súlya pedig [Kp. 118 § (1) bekezdés a) pont ab) alpontja] kizárólag akkor teszi lehetővé a jogerős ítélet felülvizsgálatát, ha a vizsgált jogkérdés az egyedi ügyön – a különleges súlyára tekintettel – túlmutat.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kiemeli, hogy a befogadás során ugyan az elvi jelentőségű jogkérdés léte hangsúlyos, azonban azt mindig a konkrét ügy tényeire kell vonatkoztatni és azok figyelembevétele mellett kell arról dönteni, hogy a jogegység védelme érdekében, annak biztosítása vagy továbbfejlesztése céljából szükséges-e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állásfoglalása, vagy az egyedi ügy tényein alapuló módon, de a kérdés társadalmi jelentőségét tekintve indokolt-e a felülvizsgálat. Tekintettel kell lenni tehát arra, hogy mindig az egyedi ügyben hozott bírósági határozat felülvizsgálatára kerülhet sor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előtti felülvizsgálati eljárásban.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perbeli esetben éppen az volt megállapítható, hogy a felperes a felülvizsgálati kérelmében olyan jogkérdésben való elvi állásfoglalás lehetőségét vetette fel, amely nem vonatkozott az alapul fekvő egyedi ügy tényeire, hanem attól elrugaszkodva kívánt előrevetíteni, indukálni egy – az adott ügyben fel sem merült – jogértelmezési vitát. A felperes ugyanis az alperes előtti eljárásban nem az ún. váltott gondoskodásra, a közös szülői felügyeleti jogra hivatkozással kérte a családi pótlék számára történő folyósítását, hanem arra alapította az igényét, hogy a gyermeket a saját háztartásában gondozza, lakcímük egyezik, és kérelme alátámasztásaként a járásbíróság – akkor még jogerőre nem emelkedett – ítéletét csatolta, amellyel a járásbíróság a felperest </w:t>
      </w:r>
      <w:r>
        <w:rPr>
          <w:vertAlign w:val="baseline"/>
        </w:rPr>
        <w:t xml:space="preserve">jogosította fel a gyermek feletti szülői felügyeleti jog gyakorlására kizárólagosan (és kötelezte az érdekeltet gyermektartásdíj megfizetésére). Az alperes a felperes ezen tartalmú kérelméről döntött, amikor – a kérelem idő előttiségére hivatkozással – elutasító határozatot hozott és az elsőfokú bíróság jogerős ítélete is ezt a kérelmet és az erre vonatkozó alperesi döntés alaposságát, indokait vizsgálta, lehatárolva azt a kérdést, amely a közös szülői felügyeleti jogra vonatkozott volna, megállapítva, hogy a felperes alpereshez benyújtott kérelme nem ezen alapult.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hangsúlyozza továbbá, hogy a jogerős ítélet jogszerűségének, a bizonyítékok értékelésének és az indokolás megfelelő kimunkálásának vizsgálata egyebekben az érdemi felülvizsgálat, és nem a befogadás körébe tartozik. </w:t>
      </w:r>
      <w:r>
        <w:rPr>
          <w:vertAlign w:val="baseline"/>
        </w:rPr>
        <w:t xml:space="preserve">Annak megítélése, hogy az elsőfokú bíróság az adott ügy tényei alapján a határozat jogszerűsége kérdésében milyen következtetésre jut, nem jogkérdésnek, hanem ténykérdésnek minősül. 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folytán nincs jogszabályi lehetőség az előterjesztett befogadási kérelem alapján a felülvizsgálati kérelem érdemi elbírálására, ezért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annak befogadását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(1)- (2) bekezdései alkalmazásával megtagadta.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kérelem befogadásáról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(2) bekezdése alapján tárgyaláson kívül határozott.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eljárás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)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57. § (1) bekezdés a) pontja alapján illetékmentes, ezért a felperes az általa szükségtelenül előzetesen lerótt hetvenezer forint felülvizsgálati eljárási illeték visszatérítését kérheti az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 80. § (1) bekezdés i) pontja alapján.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végzés elleni perorvoslatot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112.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bekezdései és 116. § d) pontja zárja ki.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Budapest, 2022. július 7. 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Dr.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Márton Gizella</w:t>
      </w:r>
      <w:r>
        <w:rPr>
          <w:vertAlign w:val="baseline"/>
        </w:rPr>
        <w:t xml:space="preserve"> s.k.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Ságiné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Márkus Anett</w:t>
      </w:r>
      <w:r>
        <w:rPr>
          <w:vertAlign w:val="baseline"/>
        </w:rPr>
        <w:t xml:space="preserve"> s.k.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Dr. Darák Péter</w:t>
      </w:r>
      <w:r>
        <w:rPr>
          <w:vertAlign w:val="baseline"/>
        </w:rPr>
        <w:t xml:space="preserve"> s.k.</w:t>
      </w: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 a tanács elnöke                                  előadó bíró                                              bíró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Dr. Demjén Péter</w:t>
      </w:r>
      <w:r>
        <w:rPr>
          <w:vertAlign w:val="baseline"/>
        </w:rPr>
        <w:t xml:space="preserve"> s.k. </w:t>
      </w:r>
      <w:r>
        <w:rPr>
          <w:vertAlign w:val="baseline"/>
        </w:rPr>
        <w:t xml:space="preserve">                       </w:t>
      </w:r>
      <w:r>
        <w:rPr>
          <w:vertAlign w:val="baseline"/>
        </w:rPr>
        <w:t xml:space="preserve">Dr. Drávecz Margit Gyöngyvér</w:t>
      </w:r>
      <w:r>
        <w:rPr>
          <w:vertAlign w:val="baseline"/>
        </w:rPr>
        <w:t xml:space="preserve"> s.k.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bíró</w:t>
      </w:r>
      <w:r>
        <w:rPr>
          <w:vertAlign w:val="baseline"/>
        </w:rPr>
        <w:t xml:space="preserve">                                         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bíró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 kiadmány hiteléül:</w:t>
      </w: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tisztviselő</w:t>
      </w:r>
    </w:p>
    <w:p>
      <w:pPr>
        <w:jc w:val="left"/>
      </w:pPr>
      <w:r>
        <w:rPr>
          <w:vertAlign w:val="baseline"/>
        </w:rPr>
        <w:t xml:space="preserve">                      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V.Kfv.37.535/2022/2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