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 é g z é s 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Mfv.VIII.10.091/2022/5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Stark Marianna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Szolnokiné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Csernay Krisztina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bíró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I. rendű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II.</w:t>
      </w:r>
      <w:r>
        <w:rPr>
          <w:b/>
          <w:vertAlign w:val="baseline"/>
        </w:rPr>
        <w:t xml:space="preserve"> rendű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felperes2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cím2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III.</w:t>
      </w:r>
      <w:r>
        <w:rPr>
          <w:b/>
          <w:vertAlign w:val="baseline"/>
        </w:rPr>
        <w:t xml:space="preserve"> rendű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felperes3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felperesek képviselője: </w:t>
      </w:r>
      <w:r>
        <w:rPr>
          <w:vertAlign w:val="baseline"/>
        </w:rPr>
        <w:t xml:space="preserve">Dr. Tárnok Cecília</w:t>
      </w:r>
      <w:r>
        <w:rPr>
          <w:vertAlign w:val="baseline"/>
        </w:rPr>
        <w:t xml:space="preserve"> ügyvéd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                          </w:t>
      </w:r>
      <w:r>
        <w:rPr>
          <w:vertAlign w:val="baseline"/>
        </w:rPr>
        <w:t xml:space="preserve">cím4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cím5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alperes képviselője: </w:t>
      </w:r>
      <w:r>
        <w:rPr>
          <w:vertAlign w:val="baseline"/>
        </w:rPr>
        <w:t xml:space="preserve">PK Ügyvédi Iroda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cím6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kártérítési járadék megfizetése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felülvizsgálni kért jogerős határozat: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Győri </w:t>
      </w:r>
      <w:r>
        <w:rPr>
          <w:vertAlign w:val="baseline"/>
        </w:rPr>
        <w:t xml:space="preserve">Ítélőtábla Mf.</w:t>
      </w:r>
      <w:r>
        <w:rPr>
          <w:vertAlign w:val="baseline"/>
        </w:rPr>
        <w:t xml:space="preserve">V.30.001/2022/9.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elsőfokú bíróság határozata: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Tatabányai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52.M.70.063/2021/13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Rendelkező rész</w:t>
      </w:r>
      <w:r>
        <w:rPr>
          <w:b/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           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Győri Ítélőtábla Mf.</w:t>
      </w:r>
      <w:r>
        <w:rPr>
          <w:vertAlign w:val="baseline"/>
        </w:rPr>
        <w:t xml:space="preserve">V.30.001/2022/9. számú ítéletét a </w:t>
      </w:r>
      <w:r>
        <w:rPr>
          <w:vertAlign w:val="baseline"/>
        </w:rPr>
        <w:t xml:space="preserve">Tatabányai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52.M.70.063/2021/13</w:t>
      </w:r>
      <w:r>
        <w:rPr>
          <w:vertAlign w:val="baseline"/>
        </w:rPr>
        <w:t xml:space="preserve">. számú ítéletére is kiterjedően hatályon kívül helyezi és az elsőfokú bíróságot új eljárásra és új határozat hozatalára utasítja. 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I. rendű felperes felülvizsgálati eljárási költségét 23 900 (huszonháromezer-kilencszáz) forintban,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felülvizsgálati eljárási költségét 12 930 (tizenkettőezer-kilencszázharmincezer) forintban,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felülvizsgálati eljárási költségét 19 500 (tizenkilencezer-ötszáz) forintban, az alperes felülvizsgálati eljárási költségét pedig 56 340 (ötvenhatezer-háromszáznegyven) forintban, a felülvizsgálati eljárás illetékét 225 340 (kettőszázhuszonötezer-háromszánnegyven) forintban állapítja meg, amelynek viseléséről az új határozatot hozó bíróság dönt. 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felperesek az alperessel, illetve annak jogelődéjével álltak munkaviszonyban, amellyel összefüggésben az I. 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felperesnél foglalkozási megbetegedés alakult ki, míg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2000. augusztus 31-én üzemi balesetet szenvedett. Az I. rendű felperes 1997. november 24-től,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1996. november 1-től rokkantsági nyugellátásban részesült, az alperes részükre keresetveszteséget pótló járadékot fizetett, amelynek összegét évente felülvizsgálta. Az I. rendű felperes 2018. március 24-én betöltötte az öregségi nyugdíjkorhatárt, az alperes pedig a 2018. május 28-án kelt levelében arról tájékoztatta, hogy a megállapított 79 668 forint járadékot élete végéig folyósítja részére.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a korkedvezményes nyugdíjkorhatárt 2015. május 5-én töltötte be. Ezt követően az alperes a 2018. március 26-án kelt iratban arról tájékoztatta, hogy a jövőben, élete végéig a korábban megállapított 43 098 forint járadékot fogja részére folyósítani.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2000. augusztus 31-én üzemi balesetet szenvedett és 2002. szeptember 12-től rokkantsági nyugellátásban részesült. A </w:t>
      </w:r>
      <w:r>
        <w:rPr>
          <w:vertAlign w:val="baseline"/>
        </w:rPr>
        <w:t xml:space="preserve">Tatabányai Munkaügyi Bíróság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1.M.765/2004/17</w:t>
      </w:r>
      <w:r>
        <w:rPr>
          <w:vertAlign w:val="baseline"/>
        </w:rPr>
        <w:t xml:space="preserve">. számú jogerős ítéletével az alperest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javára havi 15 404 forint keresetveszteségi járadék megfizetésére kötelezte. Az alperes a járadék összegét évente felülvizsgálta és a megemelt összegben folyósította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részére.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az öregségi nyugdíjkorhatárt 2018. április 16-án töltötte be, a 2018. február 20-án kelt levelében az alperes arról tájékoztatta, hogy a jövőben a korábban megállapított havi 65 014 forint járadékot folyósítja részére élete végéig.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– figyelemmel arra, hogy a felperesek nyugdíjasnak minősültek - a 2020. március 31-én kelt levelében közölte, hogy 2020. március 1-től nem fizet részükre jövedelempótló járadékot.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felperesek keresete és az alperes ellenkérelme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felperesek keresetlevelet terjesztettek elő, amelyben kérték, hogy a bíróság kötelezze az alperest az I. rendű felperes részére 2020. április 1-től 79 668 forint,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részére 43 098 forint,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részére pedig 65 014 forint havi kártérítési járadék megfizetésére. Kereseti kérelmük jogalapjaként a </w:t>
      </w:r>
      <w:r>
        <w:rPr>
          <w:vertAlign w:val="baseline"/>
        </w:rPr>
        <w:t xml:space="preserve">Munka Törvénykönyvéről</w:t>
      </w:r>
      <w:r>
        <w:rPr>
          <w:vertAlign w:val="baseline"/>
        </w:rPr>
        <w:t xml:space="preserve"> szóló 1992. évi </w:t>
      </w:r>
      <w:r>
        <w:rPr>
          <w:vertAlign w:val="baseline"/>
        </w:rPr>
        <w:t xml:space="preserve">XXII.</w:t>
      </w:r>
      <w:r>
        <w:rPr>
          <w:vertAlign w:val="baseline"/>
        </w:rPr>
        <w:t xml:space="preserve"> törvény (a továbbiakban: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) 174. §, 177. §, 184. §-a rendelkezéseire, a 187. § (2) bekezdésére, valamint a munka törvénykönyvéről szóló 2012. évi I. törvény hatálybalépésével összefüggő átmeneti rendelkezésekről és törvénymódosításokról szóló 2012. évi </w:t>
      </w:r>
      <w:r>
        <w:rPr>
          <w:vertAlign w:val="baseline"/>
        </w:rPr>
        <w:t xml:space="preserve">LXXXVI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Mth.</w:t>
      </w:r>
      <w:r>
        <w:rPr>
          <w:vertAlign w:val="baseline"/>
        </w:rPr>
        <w:t xml:space="preserve">) 2. § (1) és (2) bekezdése alapján alkalmazandó, a munka törvénykönyvéről szóló 2012. évi I. törvény (a továbbiakban: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) 15. § (4) és 16. § (1) bekezdésére hivatkoztak. Álláspontjuk szerint az alperes velük szemben a kártérítési felelősségét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§-a alapján elismerte, a korábbiakban tett, egyoldalú kötelezettségvállalásnak minősülő nyilatkozataira is figyelemmel a korábban fizetett kártérítési járadék tovább folyósítására köteles. Hangsúlyozták, hogy az öregségi nyugdíjkorhatárt betöltése nem érinti a munkavállalók kártérítési járadékra való jogosultságát.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az ellenkérelmében a kereset elutasítását, valamint a felperesek perköltségben történő marasztalását kérte. Kizárólag a kereseti kérelmek jogalapját vitatta, annak összegszerűségét nem. Álláspontja szerint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és 177. §-ai értelmében csak azon kártérítés megtérítésére köteles, amely a felpereseknél valóban felmerült, és amelynek tekintetében fennáll a felelőssége. A járadék jövedelempótló összeg, azonban a nyugdíj nem minősül jövedelemnek. Érvelése szerint a nyugdíjkorhatár betöltésére tett korábbi nyilatkozata nem egyoldalú kötelezettségvállalás, hanem a korábbi kártérítési határozatai, illetve a bírósági határozatba foglalt kötelezettségvállalása aktualizálása volt, amelyre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rendelkezései az irányadók. </w:t>
      </w:r>
      <w:r>
        <w:rPr>
          <w:vertAlign w:val="baseline"/>
        </w:rPr>
        <w:t xml:space="preserve">  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Az első- és másodfokú bíróság határozata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Tatabányai Törvényszék</w:t>
      </w:r>
      <w:r>
        <w:rPr>
          <w:vertAlign w:val="baseline"/>
        </w:rPr>
        <w:t xml:space="preserve"> az 52. </w:t>
      </w:r>
      <w:r>
        <w:rPr>
          <w:vertAlign w:val="baseline"/>
        </w:rPr>
        <w:t xml:space="preserve">M.70.063/2021/13</w:t>
      </w:r>
      <w:r>
        <w:rPr>
          <w:vertAlign w:val="baseline"/>
        </w:rPr>
        <w:t xml:space="preserve">. számú ítéletével kötelezte az alperest, hogy az I. rendű felperes részére 2020. április 1-től havi 79 668 forint,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részére 2020. április 1-től havi 43 098 forint, valamint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részére 2020. április 1-től havi 65 014 forint keresetveszteségi járadékot folyósítson tovább. Kötelezte az alperest az I. rendű felperes részére 47 801 forint,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részére 25 859 forint,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részére 39 008 forint perköltség, az állam javára pedig 135 200 forint eljárási illeték megfizetésére.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elsőfokú bíróság ítéletének indokolásában megállapította, hogy a felek közötti munkaviszony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hatálybalépése előtt megszűnt, így az </w:t>
      </w:r>
      <w:r>
        <w:rPr>
          <w:vertAlign w:val="baseline"/>
        </w:rPr>
        <w:t xml:space="preserve">Mth.</w:t>
      </w:r>
      <w:r>
        <w:rPr>
          <w:vertAlign w:val="baseline"/>
        </w:rPr>
        <w:t xml:space="preserve"> 2. § (3) bekezdésére figyelemmel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15. §-ának az egyoldalú nyilatkozatokra, illetve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16. §-ának az egyoldalú kötelezettségvállalásra vonatkozó rendelkezései nem alkalmazhatóak, ezért a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keresetekről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 (1) bekezdése, a 177. § (1) bekezdése, a 184. § (1) bekezdése alapján határozott. Az elsőfokú bíróság a bírói gyakorlatra, illetve a </w:t>
      </w:r>
      <w:r>
        <w:rPr>
          <w:vertAlign w:val="baseline"/>
        </w:rPr>
        <w:t xml:space="preserve">BH1990</w:t>
      </w:r>
      <w:r>
        <w:rPr>
          <w:vertAlign w:val="baseline"/>
        </w:rPr>
        <w:t xml:space="preserve">.120. számon közzétett eseti döntésben foglaltakra figyelemmel úgy foglalt állást, hogy a felperesek esetében az öregségi nyugdíjra jogosító korhatár betöltése nem olyan körülmény, amely alapul szolgálhat az üzemi balesetre, illetve a foglalkozási megbetegedésre tekintettel megállapított kártérítési járadék megszüntetésére. Mivel az alperes a járadékok folyósítását jogellenesen szüntette meg, a kereset összegszerűségét azonban nem vitatta, a kereseti kérelmeknek megfelelően kötelezte az alperest az I.,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, és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felperesek javára a keresetveszteségi járadék tovább folyósítására.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fellebbezése alapján eljárt </w:t>
      </w:r>
      <w:r>
        <w:rPr>
          <w:vertAlign w:val="baseline"/>
        </w:rPr>
        <w:t xml:space="preserve">Győri Ítélőtábla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Mf.V.30.001/2022/9</w:t>
      </w:r>
      <w:r>
        <w:rPr>
          <w:vertAlign w:val="baseline"/>
        </w:rPr>
        <w:t xml:space="preserve">. számú ítéletével az elsőfokú bíróság ítéletét helybenhagyta.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fellebbezési érvelésével szemben a másodfokú bíróság álláspontja szerint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korábbi perbe vitt igénye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 (1) bekezdése és 177. §-a alapján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lett elbírálva, a jelen perben a keresetét eltérő jogalapon terjesztette elő, ezért ítélt dolog nem állt fenn, ennek hiányában pedig nem volt helye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176. § (1) bekezdés d) pontja szerinti keresetlevél visszautasításának, illetve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240. § (1) bekezdés a) pontja alapján az eljárás megszüntetésének. Téves az a hivatkozás is, hogy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felperesnek csupán a </w:t>
      </w:r>
      <w:r>
        <w:rPr>
          <w:vertAlign w:val="baseline"/>
        </w:rPr>
        <w:t xml:space="preserve">Tatabányai Munkaügyi 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1.M.765/2004/17</w:t>
      </w:r>
      <w:r>
        <w:rPr>
          <w:vertAlign w:val="baseline"/>
        </w:rPr>
        <w:t xml:space="preserve">. számú jogerős ítéletének végrehajtását kellett volna kezdeményeznie, mert a bíróság által megállapított havi 15 404 forint marasztalási összeg a bírósági végrehajtásról szóló 1994. évi </w:t>
      </w:r>
      <w:r>
        <w:rPr>
          <w:vertAlign w:val="baseline"/>
        </w:rPr>
        <w:t xml:space="preserve">LIII.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) 13. § (1) bekezdése értelmében nem tette lehetővé a jogerős ítéletben megállapítottaktól eltérő összegű 65 014 forint havi járadék végrehajtását.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ítélőtábla álláspontja szerint az alperes fellebbezésével szemben az elsőfokú bíróság nem sértette meg az érdemi döntés korlátaira vonatkozó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342. § (1) és (3) bekezdésében foglalt rendelkezéseket, mert a felperesek a marasztalásra irányuló kereseti kérelmük jogalapjaként feltüntették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§-át, 177. §-át, 184. §-át és a 187. § (2) bekezdését, továbbá hivatkoztak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15. § (4) és 16. § (1) bekezdésére is.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találta megalapozottnak a másodfokú bíróság a fellebbezés azon hivatkozását sem, hogy az elsőfokú bíróság megsértette az anyagi pervezetésnek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237.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bekezdésének, valamint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237. § (3) bekezdés a) pontjának és (5) bekezdésének rendelkezéseit.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álláspontja szerint az elsőfokú bíróság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237. § (3) bekezdés a) pontjának rendelkezését nem sértette meg, figyelemmel arra, hogy az eltérő jogszabályértelmezéssel kapcsolatos tájékoztatási kötelezettség a bíróságot abban az esetben terheli, amennyiben a bíróság jogértelmezése a felek jogértelmezésétől eltérő. Mivel a felperesek a kereseti kérelmüket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15. § (4) bekezdése és a 16. § (1) bekezdésére is alapították, míg az alperes a perfelvétel során akként nyilatkozott, hogy a korábbi nyilatkozatai a járadékfizetés vonatkozásában nem minősülnek egyoldalú kötelezettségvállalásnak, az elsőfokú bíróságnak elsődlegesen erről kellett állást foglalni.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ítélőtábla nem osztotta azt az alperesi álláspontot sem, hogy megfelelő anyagi pervezetés hiányára tekintettel az elsőfokú bíróság ítélete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 (1) bekezdésbe, 177. § (1) bekezdésébe, a 178. § (1) bekezdésébe, valamint a 184. § (1) bekezdésébe ütközne. Az alperes a felperesek munkaviszonyával összefüggésben bekövetkezett egészségkárosodásáért kártérítési felelősséggel tartozik, ezért evvel összefüggésben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177. § (1) bekezdése és 178. § (1) bekezdése alapján a felperesek elmaradt jövedelem iránti igényüket érvényesíthették az alperessel szemben.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Rámutatott</w:t>
      </w:r>
      <w:r>
        <w:rPr>
          <w:vertAlign w:val="baseline"/>
        </w:rPr>
        <w:t xml:space="preserve"> arra, hogy a kártérítési járadéknak a 2018. évben történt meghatározásához képest az alperes a felperesek lényeges körülményváltozására nem hivatkozott, mivel a felperesek már 2018-ban nyugdíjasnak minősültek. Mindezek alapján megállapította, hogy a felperesek kereseti kérelmének jogalapjaként megjelölt jogszabályi rendelkezések vonatkozásában további bizonyítandó és bizonyításra szoruló tények nem merültek fel, így az sem állapítható meg, hogy az anyagi pervezetés hiánya miatt a fellebbezésben megjelölt anyagi jogi jogszabályi rendelkezéseket az elsőfokú bíróság tévesen alkalmazta volna.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a fellebbezésben foglaltakkal szemben a bizonyítás eredményének mérlegelése során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(1) bekezdését sem sértette meg, a rendelkezésre álló bizonyítékokat okszerűen értékelte, és ennek alapján állapította meg a perben jelentős tényeket.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felülvizsgálati kérelem és felülvizsgálati ellenkérelem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 felülvizsgálati kérelmében a jogerős ítélet elsőfokú bíróság ítéletére is kiterjedő hatályon kívül helyezését és elsődlegesen a felperesek keresetének elutasítását, másodlagosan az elsőfokú bíróság új eljárásra és új határozat hozatalára történő utasítását, valamint a felperesek perköltségben történő marasztalását kérte.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tekintetében a per megszüntetésének lett volna helye. Esetében a </w:t>
      </w:r>
      <w:r>
        <w:rPr>
          <w:vertAlign w:val="baseline"/>
        </w:rPr>
        <w:t xml:space="preserve">Tatabányai Munkaügyi Bíróság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1.M.765/2004/17</w:t>
      </w:r>
      <w:r>
        <w:rPr>
          <w:vertAlign w:val="baseline"/>
        </w:rPr>
        <w:t xml:space="preserve">. számú jogerős ítéletével arra kötelezte az alperest, hogy 2006. március 1-től minden hónap 15. napjáig fizessen meg 15 404 forint keresetpótló járadékot. Amennyiben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álláspontja szerint az alperes nem a jogerős ítéletben foglaltaknak megfelelően járt el, úgy az ítélet végrehajtását kellett volna kezdeményeznie, és csak az ezt meghaladó összegre terjeszthetett volna elő marasztalásra irányuló keresetet. Ezentúl, mivel a felek jogviszonyát jogerős és végrehajtható határozat szabályozza,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176. § (1) bekezdés d) pontja alapján, a res iudicatára figyelemmel a keresetlevél visszautasításának lett volna helye. Amennyiben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a jogerős ítéletben foglalt marasztalást meghaladóan kíván igényt érvényesíteni, a kereseti kérelmet ennek megfelelően kell előterjesztenie és őt terhelte annak bizonyítása, hogy utóbb az ítélet alapjául szolgáló körülmények megváltoztak.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további érvelése szerint az elsőfokú bíróság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342. § (1) bekezdése és (3) bekezdése megsértésével túlterjeszkedett a kereseti kérelmeken. Az ítélet rendelkező része összegszerűen nem tartalmaz többletet a keresetben foglaltakhoz képest, ugyanakkor az elsőfokú bíróság olyan okból adott helyt a felperesi igényeknek, amellyel kapcsolatban nem fejtették ki jogi érveiket. A felpereseknek a bíróság tudomására kell hozni, hogy álláspontjuk szerint mi az a jog, amely őket megilleti, és amelynek alapján a másik féllel szemben követelésük áll fenn, mert csak ebben az esetben van lehetősége a másik félnek a védekezésre. A felperesek keresetlevelükben az alperes egyoldalú kötelezettségvállalására és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15. § és 16. §-aira hivatkoztak, amely állítást az alperes elsődlegesen vitatott, másodlagosan pedig a körülményeik megváltozására hivatkozott. Az elsőfokú bíróság a 4. sorszám alatti jegyzőkönyvben a fentieknek megfelelően tájékoztatta a feleket a bizonyítandó tényekről, a felperesi kereset vonatkozásában azonban csupán az egyoldalú kötelezettségvállalásra vonatkozó tényállítást tartotta bizonyítandónak, úgy ítélte meg, hogy ez az a jogkérdés, amiben döntenie kell. A törvényszék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ugyanakkor az ítéletében azt állapította meg, hogy a perbeli ügyben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hivatkozott szakaszai nem alkalmazhatók, tehát erre figyelemmel a kereset elutasításának lett volna helye. Mindezekből következően az elsőfokú bíróság akkor járt volna el helyesen, ha ezt az álláspontját az anyagi pervezetés körében a felek tudomására hozza és kioktatja őket arról, hogy milyen tények igazolását tartja szükségesnek ahhoz, hogy a jogvitában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kártérítésre vonatkozó szabályai szerint döntsön. Az alperes csak a tényleges kárért tartozik helytállni, tehát az anyagi pervezetés körében bizonyítási érdekről e körben is tájékoztatni kellett volna a feleket. Az elsőfokú bíróság így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265. § (1) bekezdésének megsértésével nem adott tájékoztatást arról, hogy a törvényszék a felperesek által állított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15-16. §-a ellenére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 (1) bekezdése, 177. § (1) bekezdése és 184. § (1) bekezdése alapján a kártérítési felelősség megalapozottságát kívánja vizsgálni. Megfelelő kioktatás hiányában nyilatkozott úgy az alperes, hogy a követelés összegszerűségét nem vitatja. A jogerős ítéletben foglalt jogalap alapján a felpereseknek azt kellett volna bizonyítaniuk, hogy a kártérítés őket megilleti, és az általuk követelt összegben illeti meg, a felpereseknek ehhez képest kellett volna a védekezést előadni.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álláspontja szerint a felperesek keresetükben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§-át ugyan megemlítették, de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177. §, 184. § és 187. § (2) bekezdése vonatkozásában a jogi érveket egyáltalán nem rögzítettek, ezért az elsőfokú bíróság a kereseti kérelmen túlterjeszkedett.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a felperesek keresetének helytadó ítélete indokolásában kizárólag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 (1) bekezdésére, illetőleg a BH</w:t>
      </w:r>
      <w:r>
        <w:rPr>
          <w:vertAlign w:val="baseline"/>
        </w:rPr>
        <w:t xml:space="preserve">1990.120.</w:t>
      </w:r>
      <w:r>
        <w:rPr>
          <w:vertAlign w:val="baseline"/>
        </w:rPr>
        <w:t xml:space="preserve"> eseti döntésre utalt. Megfelelő kioktatás hiányában azonban az adatok csak szűk körben álltak a bíróság rendelkezésére a jelentős tények megállapításához.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álláspontja szerint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184. § (1) bekezdéséhez fűzött magyarázatból az is következik, hogy amennyiben a munkáltatót nem jogerős ítélet kötelezi a járadék megfizetésére, úgy jogosult arra, hogy időről-időre a járadékfizetés gyakorlatát felülvizsgálja, és amennyiben arra a következtetésre jut, hogy a keresetpótló járadék fizetésének feltételei már nem állnak fenn, úgy annak folyósítását megszüntesse. Az I. 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vonatkozásában nem született bírósági döntés a járadékkal összefüggésben, az alperes a kártérítési kötelezettséget önként teljesítette, így nem lehetett akadálya annak, hogy a járadék folyósítását megszüntesse arra tekintettel, hogy a felpereseknél jövedelemkiesés már nem áll fenn. Amennyiben a felperesek álláspontja szerint a kártérítésre változatlanul jogosultak, a jövedelemkiesés változatlanul fennáll, úgy az önkéntes teljesítés elmaradására tekintettel annak tényét és összegszerűségét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265. § (1) bekezdésére figyelemmel nekik kellett volna bizonyítani. Az alperes a döntését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nyugellátási jogosultsággal indokolta, ugyanis a nyugdíjkorhatár betöltése és a nyugdíj igénybevétele nem feltétlenül esik egybe.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azt is panaszolta, hogy a jogerős ítélet indokolásában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184. § (1) bekezdésére utalt, ugyanakkor a felperesek a keresetlevélben erre a törvényi rendelkezésre egyáltalán nem hivatkoztak, nem fejtették ki álláspontjukat.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Sérelmezte,</w:t>
      </w:r>
      <w:r>
        <w:rPr>
          <w:vertAlign w:val="baseline"/>
        </w:rPr>
        <w:t xml:space="preserve"> hogy az eljárt bíróságok az alperes 2018. évi nyilatkozatát is kiterjesztően értelmezték, az alperes a járadékokkal kapcsolatos korábbi gyakorlatát a </w:t>
      </w:r>
      <w:r>
        <w:rPr>
          <w:vertAlign w:val="baseline"/>
        </w:rPr>
        <w:t xml:space="preserve">26/1980</w:t>
      </w:r>
      <w:r>
        <w:rPr>
          <w:vertAlign w:val="baseline"/>
        </w:rPr>
        <w:t xml:space="preserve">. (XII. 20.) </w:t>
      </w:r>
      <w:r>
        <w:rPr>
          <w:vertAlign w:val="baseline"/>
        </w:rPr>
        <w:t xml:space="preserve">MüM</w:t>
      </w:r>
      <w:r>
        <w:rPr>
          <w:vertAlign w:val="baseline"/>
        </w:rPr>
        <w:t xml:space="preserve"> rendelet 10. § (4) és (6) bekezdéséhez igazította. A 2018. évi nyilatkozatok, ezért a korábbi alperesi gyakorlattal összhangban arra vonatkoztak, hogy a járadék emelésére a jövőben már nem került sor, azonban ez nem zárja ki azt, hogy a munkáltató felülvizsgálja azt, hogy a folyósított járadék nem mutat-e túl a kártérítési célon, nem válik-e nyereség forrásává. Álláspontja szerint a jogvita kereteinek megfelelő meghatározása a bizonyítási teher téves kiosztása és így a bizonyítási eljárás megfelelő lefolytatásának hiánya azt eredményezte, hogy az elsőfokú bíróság az ítéletében jogkérdésben olyan megállapításokat is tett, amelyek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precedensképes határozataival ellentétesek.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további érvelése szerint a jövedelempótló járadék megszüntetéséről szóló intézkedést kifejezetten azzal indokolta, hogy a nyugdíj nem minősül jövedelemnek, így a felperesek jövedelempótló járadékra már nem jogosultak. Az alperes a 2020. március 31-én kelt nyilatkozatával azért döntött a járadék megszüntetése mellett, mert a felperesek esetében nem jelentkezhet elmaradt jövedelemből keletkező kár, így a keresetpótló járadék folyósítása az öregségi nyugdíjkorhatár betöltését követően már nem indokolt. Felperesek a járadék alapjául szolgáló munkabért is csak a nyugdíjkorhatár elérésig kapták volna.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álláspontja szerint a felperesek a nyugdíj és az általuk a baleset hiányában elérhető nyugdíj közötti különbségből eredő esetleges kártérítési igényüket nyugdíjkülönbözet jogcímén érvényesíthetik, amelyet a Kúria </w:t>
      </w:r>
      <w:r>
        <w:rPr>
          <w:vertAlign w:val="baseline"/>
        </w:rPr>
        <w:t xml:space="preserve">Pfv.III.21.315/2019/6</w:t>
      </w:r>
      <w:r>
        <w:rPr>
          <w:vertAlign w:val="baseline"/>
        </w:rPr>
        <w:t xml:space="preserve">. számú ítélete is alátámaszt. Amennyiben a felperesek jövedelemkiesésből származó kárra hivatkoznak, úgy a kár tényét és összegszerűségét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265. § (1) bekezdésére figyelemmel a felpereseknek kellett volna bizonyítani. A kár bekövetkezése az anyagi jog keletkezésének feltétele, kár nélkül nincs kártérítési kötelezettség, illetve annak megtérítésére vonatkozó jog sem.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végül utalt arra, hogy a másodfokon eljárt bíróság nem tett eleget az ítélet indokolására vonatkozó kötelezettségének sem, ezzel megsértette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 § (5) bekezdésében foglaltakat.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felperesek a felülvizsgálati ellenkérelmükben a jogerős ítélet hatályában történő fenntartását és az alperes felülvizsgálati eljárási költségben történő marasztalását kérték. Álláspontjuk szerint a támadott ítéletek helyes tényállást állapítottak meg és a jogszabályoknak megfelelő következtetést vontak le, a jogerős ítélet nem jogszabálysértő.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Álláspontjuk</w:t>
      </w:r>
      <w:r>
        <w:rPr>
          <w:vertAlign w:val="baseline"/>
        </w:rPr>
        <w:t xml:space="preserve"> szerint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vonatkozásában nem volt helye a per megszüntetésének és az eljárt bíróságok nem terjeszkedtek túl a kereseti kérelmen sem. Az alperes által felhozott jogcím, az öregségi nyugdíjkorhatár betöltése, a </w:t>
      </w:r>
      <w:r>
        <w:rPr>
          <w:vertAlign w:val="baseline"/>
        </w:rPr>
        <w:t xml:space="preserve">26/1980</w:t>
      </w:r>
      <w:r>
        <w:rPr>
          <w:vertAlign w:val="baseline"/>
        </w:rPr>
        <w:t xml:space="preserve">. (XII. 20.) </w:t>
      </w:r>
      <w:r>
        <w:rPr>
          <w:vertAlign w:val="baseline"/>
        </w:rPr>
        <w:t xml:space="preserve">MüM</w:t>
      </w:r>
      <w:r>
        <w:rPr>
          <w:vertAlign w:val="baseline"/>
        </w:rPr>
        <w:t xml:space="preserve"> rendelet hatályon kívül helyezése és a BH</w:t>
      </w:r>
      <w:r>
        <w:rPr>
          <w:vertAlign w:val="baseline"/>
        </w:rPr>
        <w:t xml:space="preserve">1990.120.</w:t>
      </w:r>
      <w:r>
        <w:rPr>
          <w:vertAlign w:val="baseline"/>
        </w:rPr>
        <w:t xml:space="preserve"> számú jogeset alkalmazhatatlansága volt. Ezen állásponttal szemben a felperesek kettős jogcímet jelöltek meg, kettős jogi érvelést adtak elő. Egyrészt hivatkoztak az alperes korábbi kötelezettségvállaló nyilatkozatára, amelyet az elsőfokú bíróság nem fogadott el. Az igényük alátámasztásaként azonban felhívták a BH</w:t>
      </w:r>
      <w:r>
        <w:rPr>
          <w:vertAlign w:val="baseline"/>
        </w:rPr>
        <w:t xml:space="preserve">1990.120.</w:t>
      </w:r>
      <w:r>
        <w:rPr>
          <w:vertAlign w:val="baseline"/>
        </w:rPr>
        <w:t xml:space="preserve"> számú eseti döntést is, amely szerint önmagában az öregségi nyugdíjkorhatár betöltése nem érinti a járadékra való jogosultságot, nem teremt alapot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184. § (1) bekezdése szerinti változtatásra. Az alperes pedig a döntését kizárólag erre alapította. A jogvita lényege az volt, hogy az alperes által elismert jogalapon járó és összegszerűségében általa elfogadott, megállapított összegű kártérítési járadék megszüntethető-e egyoldalúan egy olyan körülményváltozásra hivatkozással, amelyre tekintettel állapította meg korábban a részükre jogosan járó kártérítést, e kérdésben foglalt állást a másodfokú bíróság.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annak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felülvizsgálati kérelme az alábbiak szerint megalapozott.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perben irányadó tényállás szerint az alperes elismerte, hogy az I. 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a foglalkozási megbetegedése miatt,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pedig üzemi balesetével összefüggésben egészségkárosodást szenvedett, amelyért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§-a alapján kártérítési felelősséggel tartozik. Ebből következően az I. 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felperesnek önként,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felperesnek pedig a munkaügyi perben meghozott jogerős bírósági ítélet alapján folyamatosan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177. § (1) bekezdése és 183. § (1) bekezdése alapján keresetveszteségi járadékot fizetett, amelynek összegét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184. § (3) bekezdése és 187. §-a alapján évenként felülvizsgált és módosított.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per tárgya a már többször felülvizsgált és megemelt összegű kártérítési járadék folyósításának megszüntetése volt.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 felülvizsgálati kérelmében megalapozatlanul hivatkozott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felperes esetében a res iudicatára, vagyis az ítélt dologra, figyelemmel arra, hogy a peres felek közötti jogerős ítéletet követően az alperes a kártérítési járadék összegét többször felülvizsgálta, annak összegét megemelte, így alaptalanul indítványozta az eljárás megszüntetését.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ugyanakkor felülvizsgálati kérelmében megalapozottan kifogásolta, hogy az elsőfokú bíróság által az anyagi pervezetés körében adott tájékoztatás és kioktatás hiányos volt, az nem felelt meg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237. § (1) és (2) bekezdésében foglaltaknak.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237. § (2) bekezdése előírja, hogy ha a perfelvételi nyilatkozat nem terjed ki valamely lényeges tény vonatkozásában a bizonyításra vagy a felek között vita van abban, hogy valamely tény bizonyítása mely felet terheli, a bíróság az (1) bekezdésben foglaltakon túl tájékoztatja a feleket a bizonyíték rendelkezésre bocsátása, illetve a bizonyítás indítványozása elmulasztásának, valamint a bizonyítás esetleges sikertelenségének következményéről is.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4. sorszámú jegyzőkönyvben foglalt tájékoztatása azonban kizárólag az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15. § és 16. §-aiban foglalt munkáltatói egyoldalú kötelezettségvállalásra terjedt ki és – annak ellenére. hogy a felperesek keresetlevele sem tartalmazta 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174. § (1) bekezdésére, 177. §-ára és 184. § (1) bekezdésére alapított jogi érvelést – nem érintette a keresetükben tartalmilag a munkáltatói kártérítési felelősségre és a teljesítés folytatására iránti igényük alapján a feleket terhelő bizonyítással kapcsolatos kioktatást.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régi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184. § (1) bekezdése szerint, ha a kártérítés megállapítása után változás következik be a sérelmet szenvedett munkavállaló lényeges körülményeiben, mind a károsult, mind a munkáltató, illetőleg felelősségbiztosítás alapján nyújtott kártérítés esetén a biztosító a megállapított kártérítés módosítását kérheti.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jogszabályi rendelkezésből következően lehetőség van a kártérítési járadék módosítására, amelynek azonban feltétele, hogy azt már egy korábbi időpontban megállapították. A törvény nem szűkíti ennek lehetőségét arra az esetre, ha a kártérítést a bíróság állapította meg, a kártérítés módjában, időtartamában, mértékében a felek peren kívül is megállapodhatnak, mint a perbeli esetben is. Az alperes által megállapított kártérítési járadékot a felperesek elfogadták: a járadék folyósításában és összegében a felek egyező akaratukat kinyilvánították. Nincs jogi akadálya annak sem, hogy e megállapodást közösen később módosítsák. Arra is lehetőségük van, hogy az ilyen megállapodás bíróság által történő módosítását kérjék, a módosításra azonban csak kérelem alapján kerülhet sor. Ebből következően a munkáltatónak nincs lehetősége arra, hogy a kártérítést egyoldalúan csökkentse vagy megszüntesse. Erről vagy újabb megállapodást köthet, vagy a módosítás végett a bírósághoz kell fordulnia. Minthogy az adott perben az alperes mindvégig arra hivatkozott, hogy a felpereseknek már nincs káruk, mert öregségi nyugdíjban részesülnek, erre vonatkozó igényét, vagyis a kártérítési járadék jövőre történő megszüntetését neki kell érvényesíteni, a kártérítési járadék továbbfolyósítása iránti perben pedig azt kell tisztázni, hogy a felpereseket milyen jövedelemveszteség éri azokhoz képest, akik a nyugállományba vonulásig a felperesek munkakörében munkaviszonyban álltak.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fentiekre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az elsőfokú bíróság ítéletére is kiterjedően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(3) bekezdése alapján hatályon kívül helyezte és az elsőfokon eljáró törvényszéket új eljárásra és új határozat meghozatalára utasította.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új eljárás keretein belül az elsőfokú bíróságnak a perfelvételi tárgyalás megismétlésével a feleket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237. § (1) és (2) bekezdésben foglaltak teljesítésével kell kioktatnia és tájékoztatni az őket terhelő bizonyítási érdekről és a lefolytatott bizonyítási eljárást követően van lehetősége a kereseti kérelem érdemi elbírálására.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(1) bekezdése alapján a felek felülvizsgálati költségét és a felülvizsgálat eljárási illetékét csupán megállapította, annak viseléséről az új határozatot hozó bíróság dönt.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2022. október 19-én megtartott tárgyaláson bírálta el.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végzés elleni felülvizsgálat lehetőségét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d) pontja zárja ki.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Budapest,</w:t>
      </w:r>
      <w:r>
        <w:rPr>
          <w:vertAlign w:val="baseline"/>
        </w:rPr>
        <w:t xml:space="preserve"> 2022. október 19.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Dr. Stark Marianna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Szolnokiné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Csernay Krisztina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s.k. bíró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VIII.Mfv.10.091/2022/5-II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