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666525" w:rsidR="001E0961" w:rsidSect="00FA2D4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titlePg/>
      <w:docGrid w:linePitch="360"/>
    </w:sectPr>
    <w:p>
      <w:pPr>
        <w:jc w:val="center"/>
      </w:pPr>
      <w:r>
        <w:rPr>
          <w:b/>
          <w:vertAlign w:val="baseline"/>
        </w:rPr>
        <w:t xml:space="preserve">Kúria</w:t>
      </w:r>
    </w:p>
    <w:p>
      <w:pPr>
        <w:jc w:val="center"/>
      </w:pPr>
      <w:r>
        <w:rPr>
          <w:b/>
          <w:vertAlign w:val="baseline"/>
        </w:rPr>
        <w:t xml:space="preserve">végzése</w:t>
      </w:r>
    </w:p>
    <w:p>
      <w:pPr>
        <w:jc w:val="left"/>
      </w:pPr>
      <w:r>
        <w:rPr>
          <w:vertAlign w:val="baseline"/>
        </w:rPr>
        <w:t xml:space="preserve"> </w:t>
      </w:r>
      <w:r>
        <w:br/>
      </w:r>
    </w:p>
    <w:p>
      <w:pPr>
        <w:jc w:val="left"/>
      </w:pPr>
      <w:r>
        <w:rPr>
          <w:b/>
          <w:vertAlign w:val="baseline"/>
        </w:rPr>
        <w:t xml:space="preserve">Az ügy száma:</w:t>
      </w:r>
      <w:r>
        <w:rPr>
          <w:vertAlign w:val="baseline"/>
        </w:rPr>
        <w:t xml:space="preserve">    </w:t>
      </w:r>
      <w:r>
        <w:rPr>
          <w:vertAlign w:val="baseline"/>
        </w:rPr>
        <w:t xml:space="preserve">       </w:t>
      </w:r>
      <w:r>
        <w:rPr>
          <w:vertAlign w:val="baseline"/>
        </w:rPr>
        <w:t xml:space="preserve">            </w:t>
      </w:r>
      <w:r>
        <w:rPr>
          <w:vertAlign w:val="baseline"/>
        </w:rPr>
        <w:t xml:space="preserve">Bfv.II.1.477/2022/7</w:t>
      </w:r>
      <w:r>
        <w:rPr>
          <w:vertAlign w:val="baseline"/>
        </w:rPr>
        <w:t xml:space="preserve">.</w:t>
      </w:r>
      <w:r>
        <w:rPr>
          <w:vertAlign w:val="baseline"/>
        </w:rPr>
        <w:t xml:space="preserve">  </w:t>
      </w:r>
    </w:p>
    <w:p>
      <w:pPr>
        <w:jc w:val="left"/>
      </w:pPr>
      <w:r>
        <w:rPr>
          <w:b/>
          <w:vertAlign w:val="baseline"/>
        </w:rPr>
        <w:t xml:space="preserve">A határozat szintje:</w:t>
      </w:r>
      <w:r>
        <w:rPr>
          <w:b/>
          <w:vertAlign w:val="baseline"/>
        </w:rPr>
        <w:t xml:space="preserve">   </w:t>
      </w:r>
      <w:r>
        <w:rPr>
          <w:b/>
          <w:vertAlign w:val="baseline"/>
        </w:rPr>
        <w:t xml:space="preserve">            </w:t>
      </w:r>
      <w:r>
        <w:rPr>
          <w:vertAlign w:val="baseline"/>
        </w:rPr>
        <w:t xml:space="preserve">felülvizsgálat</w:t>
      </w:r>
      <w:r>
        <w:rPr>
          <w:vertAlign w:val="baseline"/>
        </w:rPr>
        <w:t xml:space="preserve">  </w:t>
      </w:r>
    </w:p>
    <w:p>
      <w:pPr>
        <w:jc w:val="left"/>
      </w:pPr>
      <w:r>
        <w:rPr>
          <w:b/>
          <w:vertAlign w:val="baseline"/>
        </w:rPr>
        <w:t xml:space="preserve">A tanács tagjai:</w:t>
      </w:r>
      <w:r>
        <w:rPr>
          <w:b/>
          <w:vertAlign w:val="baseline"/>
        </w:rPr>
        <w:t xml:space="preserve">         </w:t>
      </w:r>
      <w:r>
        <w:rPr>
          <w:b/>
          <w:vertAlign w:val="baseline"/>
        </w:rPr>
        <w:t xml:space="preserve">            </w:t>
      </w:r>
      <w:r>
        <w:rPr>
          <w:vertAlign w:val="baseline"/>
        </w:rPr>
        <w:t xml:space="preserve">Dr. Somogyi Gábor</w:t>
      </w:r>
      <w:r>
        <w:rPr>
          <w:vertAlign w:val="baseline"/>
        </w:rPr>
        <w:t xml:space="preserve">, a tanács elnöke</w:t>
      </w:r>
      <w:r>
        <w:rPr>
          <w:vertAlign w:val="baseline"/>
        </w:rPr>
        <w:t xml:space="preserve">  </w:t>
      </w:r>
    </w:p>
    <w:p>
      <w:pPr>
        <w:jc w:val="left"/>
      </w:pPr>
      <w:r>
        <w:rPr>
          <w:b/>
          <w:vertAlign w:val="baseline"/>
        </w:rPr>
        <w:t xml:space="preserve">                                    </w:t>
      </w:r>
      <w:r>
        <w:rPr>
          <w:b/>
          <w:vertAlign w:val="baseline"/>
        </w:rPr>
        <w:t xml:space="preserve">            </w:t>
      </w:r>
      <w:r>
        <w:rPr>
          <w:vertAlign w:val="baseline"/>
        </w:rPr>
        <w:t xml:space="preserve">Dr. Metzing Márton</w:t>
      </w:r>
      <w:r>
        <w:rPr>
          <w:vertAlign w:val="baseline"/>
        </w:rPr>
        <w:t xml:space="preserve">, előadó bíró</w:t>
      </w:r>
      <w:r>
        <w:rPr>
          <w:vertAlign w:val="baseline"/>
        </w:rPr>
        <w:t xml:space="preserve">  </w:t>
      </w:r>
    </w:p>
    <w:p>
      <w:pPr>
        <w:jc w:val="left"/>
      </w:pPr>
      <w:r>
        <w:rPr>
          <w:vertAlign w:val="baseline"/>
        </w:rPr>
        <w:t xml:space="preserve">                                    </w:t>
      </w:r>
      <w:r>
        <w:rPr>
          <w:vertAlign w:val="baseline"/>
        </w:rPr>
        <w:t xml:space="preserve">            </w:t>
      </w:r>
      <w:r>
        <w:rPr>
          <w:vertAlign w:val="baseline"/>
        </w:rPr>
        <w:t xml:space="preserve">Dr. Harangozó Attila</w:t>
      </w:r>
      <w:r>
        <w:rPr>
          <w:vertAlign w:val="baseline"/>
        </w:rPr>
        <w:t xml:space="preserve">, bíró </w:t>
      </w:r>
      <w:r>
        <w:rPr>
          <w:vertAlign w:val="baseline"/>
        </w:rPr>
        <w:t xml:space="preserve">  </w:t>
      </w:r>
    </w:p>
    <w:p>
      <w:pPr>
        <w:jc w:val="left"/>
      </w:pPr>
      <w:r>
        <w:rPr>
          <w:vertAlign w:val="baseline"/>
        </w:rPr>
        <w:t xml:space="preserve">                                               </w:t>
      </w:r>
      <w:r>
        <w:rPr>
          <w:vertAlign w:val="baseline"/>
        </w:rPr>
        <w:t xml:space="preserve">Dr. Demeter Zsuzsanna</w:t>
      </w:r>
      <w:r>
        <w:rPr>
          <w:vertAlign w:val="baseline"/>
        </w:rPr>
        <w:t xml:space="preserve">, bíró</w:t>
      </w:r>
      <w:r>
        <w:rPr>
          <w:vertAlign w:val="baseline"/>
        </w:rPr>
        <w:t xml:space="preserve">  </w:t>
      </w:r>
    </w:p>
    <w:p>
      <w:pPr>
        <w:jc w:val="left"/>
      </w:pPr>
      <w:r>
        <w:rPr>
          <w:vertAlign w:val="baseline"/>
        </w:rPr>
        <w:t xml:space="preserve">                                               </w:t>
      </w:r>
      <w:r>
        <w:rPr>
          <w:vertAlign w:val="baseline"/>
        </w:rPr>
        <w:t xml:space="preserve">Dr. Boros Tibor</w:t>
      </w:r>
      <w:r>
        <w:rPr>
          <w:vertAlign w:val="baseline"/>
        </w:rPr>
        <w:t xml:space="preserve">, bíró </w:t>
      </w:r>
      <w:r>
        <w:rPr>
          <w:vertAlign w:val="baseline"/>
        </w:rPr>
        <w:t xml:space="preserve"> </w:t>
      </w:r>
      <w:r>
        <w:rPr>
          <w:vertAlign w:val="baseline"/>
        </w:rPr>
        <w:t xml:space="preserve">            </w:t>
      </w:r>
      <w:r>
        <w:rPr>
          <w:vertAlign w:val="baseline"/>
        </w:rPr>
        <w:t xml:space="preserve">  </w:t>
      </w:r>
    </w:p>
    <w:p>
      <w:pPr>
        <w:jc w:val="left"/>
      </w:pPr>
      <w:r>
        <w:rPr>
          <w:b/>
          <w:vertAlign w:val="baseline"/>
        </w:rPr>
        <w:t xml:space="preserve">Az eljárás helye:</w:t>
      </w:r>
      <w:r>
        <w:rPr>
          <w:b/>
          <w:vertAlign w:val="baseline"/>
        </w:rPr>
        <w:t xml:space="preserve">       </w:t>
      </w:r>
      <w:r>
        <w:rPr>
          <w:b/>
          <w:vertAlign w:val="baseline"/>
        </w:rPr>
        <w:t xml:space="preserve">            </w:t>
      </w:r>
      <w:r>
        <w:rPr>
          <w:vertAlign w:val="baseline"/>
        </w:rPr>
        <w:t xml:space="preserve">Budapest</w:t>
      </w:r>
      <w:r>
        <w:rPr>
          <w:vertAlign w:val="baseline"/>
        </w:rPr>
        <w:t xml:space="preserve"> </w:t>
      </w:r>
      <w:r>
        <w:rPr>
          <w:vertAlign w:val="baseline"/>
        </w:rPr>
        <w:t xml:space="preserve">  </w:t>
      </w:r>
    </w:p>
    <w:p>
      <w:pPr>
        <w:jc w:val="left"/>
      </w:pPr>
      <w:r>
        <w:rPr>
          <w:b/>
          <w:vertAlign w:val="baseline"/>
        </w:rPr>
        <w:t xml:space="preserve">Az eljárás formája:</w:t>
      </w:r>
      <w:r>
        <w:rPr>
          <w:b/>
          <w:vertAlign w:val="baseline"/>
        </w:rPr>
        <w:t xml:space="preserve">   </w:t>
      </w:r>
      <w:r>
        <w:rPr>
          <w:b/>
          <w:vertAlign w:val="baseline"/>
        </w:rPr>
        <w:t xml:space="preserve">            </w:t>
      </w:r>
      <w:r>
        <w:rPr>
          <w:vertAlign w:val="baseline"/>
        </w:rPr>
        <w:t xml:space="preserve">tanácsülés</w:t>
      </w:r>
      <w:r>
        <w:rPr>
          <w:vertAlign w:val="baseline"/>
        </w:rPr>
        <w:t xml:space="preserve">  </w:t>
      </w:r>
    </w:p>
    <w:p>
      <w:pPr>
        <w:jc w:val="left"/>
      </w:pPr>
      <w:r>
        <w:rPr>
          <w:b/>
          <w:vertAlign w:val="baseline"/>
        </w:rPr>
        <w:t xml:space="preserve">Az ülés napja:</w:t>
      </w:r>
      <w:r>
        <w:rPr>
          <w:vertAlign w:val="baseline"/>
        </w:rPr>
        <w:t xml:space="preserve"> </w:t>
      </w:r>
      <w:r>
        <w:rPr>
          <w:vertAlign w:val="baseline"/>
        </w:rPr>
        <w:t xml:space="preserve">          </w:t>
      </w:r>
      <w:r>
        <w:rPr>
          <w:vertAlign w:val="baseline"/>
        </w:rPr>
        <w:t xml:space="preserve">            </w:t>
      </w:r>
      <w:r>
        <w:rPr>
          <w:vertAlign w:val="baseline"/>
        </w:rPr>
        <w:t xml:space="preserve">2023. szeptember 28</w:t>
      </w:r>
      <w:r>
        <w:rPr>
          <w:vertAlign w:val="baseline"/>
        </w:rPr>
        <w:t xml:space="preserve">.</w:t>
      </w:r>
      <w:r>
        <w:rPr>
          <w:vertAlign w:val="baseline"/>
        </w:rPr>
        <w:t xml:space="preserve">  </w:t>
      </w:r>
    </w:p>
    <w:p>
      <w:pPr>
        <w:jc w:val="both"/>
      </w:pPr>
      <w:r>
        <w:rPr>
          <w:b/>
          <w:vertAlign w:val="baseline"/>
        </w:rPr>
        <w:t xml:space="preserve">Az ügy tárgya:</w:t>
      </w:r>
      <w:r>
        <w:rPr>
          <w:vertAlign w:val="baseline"/>
        </w:rPr>
        <w:t xml:space="preserve">                       </w:t>
      </w:r>
      <w:r>
        <w:rPr>
          <w:vertAlign w:val="baseline"/>
        </w:rPr>
        <w:t xml:space="preserve">kábítószer-kereskedelem bűntette és más bűncselekmény</w:t>
      </w:r>
      <w:r>
        <w:rPr>
          <w:vertAlign w:val="baseline"/>
        </w:rPr>
        <w:t xml:space="preserve"> </w:t>
      </w:r>
    </w:p>
    <w:p>
      <w:pPr>
        <w:jc w:val="left"/>
      </w:pPr>
      <w:r>
        <w:rPr>
          <w:b/>
          <w:vertAlign w:val="baseline"/>
        </w:rPr>
        <w:t xml:space="preserve">Terhelt:</w:t>
      </w:r>
      <w:r>
        <w:rPr>
          <w:b/>
          <w:vertAlign w:val="baseline"/>
        </w:rPr>
        <w:t xml:space="preserve">                      </w:t>
      </w:r>
      <w:r>
        <w:rPr>
          <w:b/>
          <w:vertAlign w:val="baseline"/>
        </w:rPr>
        <w:t xml:space="preserve">            </w:t>
      </w:r>
      <w:r>
        <w:rPr>
          <w:vertAlign w:val="baseline"/>
        </w:rPr>
        <w:t xml:space="preserve">I. rendű</w:t>
      </w:r>
      <w:r>
        <w:rPr>
          <w:vertAlign w:val="baseline"/>
        </w:rPr>
        <w:t xml:space="preserve">  </w:t>
      </w:r>
    </w:p>
    <w:p>
      <w:pPr>
        <w:jc w:val="both"/>
      </w:pPr>
      <w:r>
        <w:rPr>
          <w:b/>
          <w:vertAlign w:val="baseline"/>
        </w:rPr>
        <w:t xml:space="preserve">Elsőfok:</w:t>
      </w:r>
      <w:r>
        <w:rPr>
          <w:vertAlign w:val="baseline"/>
        </w:rPr>
        <w:t xml:space="preserve"> </w:t>
      </w:r>
      <w:r>
        <w:rPr>
          <w:vertAlign w:val="baseline"/>
        </w:rPr>
        <w:t xml:space="preserve">             </w:t>
      </w:r>
      <w:r>
        <w:rPr>
          <w:vertAlign w:val="baseline"/>
        </w:rPr>
        <w:t xml:space="preserve">                    </w:t>
      </w:r>
      <w:r>
        <w:rPr>
          <w:vertAlign w:val="baseline"/>
        </w:rPr>
        <w:t xml:space="preserve">Székesfehérvári Törvényszék,</w:t>
      </w:r>
      <w:r>
        <w:rPr>
          <w:vertAlign w:val="baseline"/>
        </w:rPr>
        <w:t xml:space="preserve"> </w:t>
      </w:r>
      <w:r>
        <w:rPr>
          <w:vertAlign w:val="baseline"/>
        </w:rPr>
        <w:t xml:space="preserve">16.B.22/2020/71</w:t>
      </w:r>
      <w:r>
        <w:rPr>
          <w:vertAlign w:val="baseline"/>
        </w:rPr>
        <w:t xml:space="preserve">.</w:t>
      </w:r>
      <w:r>
        <w:rPr>
          <w:vertAlign w:val="baseline"/>
        </w:rPr>
        <w:t xml:space="preserve">, ítélet, tárgyalás,</w:t>
      </w:r>
      <w:r>
        <w:rPr>
          <w:vertAlign w:val="baseline"/>
        </w:rPr>
        <w:t xml:space="preserve"> </w:t>
      </w:r>
      <w:r>
        <w:rPr>
          <w:vertAlign w:val="baseline"/>
        </w:rPr>
        <w:t xml:space="preserve">2021. február 5</w:t>
      </w:r>
      <w:r>
        <w:rPr>
          <w:vertAlign w:val="baseline"/>
        </w:rPr>
        <w:t xml:space="preserve">.</w:t>
      </w:r>
      <w:r>
        <w:rPr>
          <w:vertAlign w:val="baseline"/>
        </w:rPr>
        <w:t xml:space="preserve">  </w:t>
      </w:r>
    </w:p>
    <w:p>
      <w:pPr>
        <w:jc w:val="both"/>
      </w:pPr>
      <w:r>
        <w:rPr>
          <w:b/>
          <w:vertAlign w:val="baseline"/>
        </w:rPr>
        <w:t xml:space="preserve">Másodfok:</w:t>
      </w:r>
      <w:r>
        <w:rPr>
          <w:b/>
          <w:vertAlign w:val="baseline"/>
        </w:rPr>
        <w:t xml:space="preserve">                             </w:t>
      </w:r>
      <w:r>
        <w:rPr>
          <w:b/>
          <w:vertAlign w:val="baseline"/>
        </w:rPr>
        <w:t xml:space="preserve"> </w:t>
      </w:r>
      <w:r>
        <w:rPr>
          <w:vertAlign w:val="baseline"/>
        </w:rPr>
        <w:t xml:space="preserve">Győri Ítélőtábla,</w:t>
      </w:r>
      <w:r>
        <w:rPr>
          <w:vertAlign w:val="baseline"/>
        </w:rPr>
        <w:t xml:space="preserve"> </w:t>
      </w:r>
      <w:r>
        <w:rPr>
          <w:vertAlign w:val="baseline"/>
        </w:rPr>
        <w:t xml:space="preserve">Bf.I.30/2021/41</w:t>
      </w:r>
      <w:r>
        <w:rPr>
          <w:vertAlign w:val="baseline"/>
        </w:rPr>
        <w:t xml:space="preserve">., ítélet, nyilvános ülés, 2021. szeptember 7.</w:t>
      </w:r>
      <w:r>
        <w:rPr>
          <w:vertAlign w:val="baseline"/>
        </w:rPr>
        <w:t xml:space="preserve">  </w:t>
      </w:r>
    </w:p>
    <w:p>
      <w:pPr>
        <w:jc w:val="left"/>
      </w:pPr>
      <w:r>
        <w:rPr>
          <w:b/>
          <w:vertAlign w:val="baseline"/>
        </w:rPr>
        <w:t xml:space="preserve">Harmadfok:</w:t>
      </w:r>
      <w:r>
        <w:rPr>
          <w:vertAlign w:val="baseline"/>
        </w:rPr>
        <w:t xml:space="preserve"> </w:t>
      </w:r>
      <w:r>
        <w:rPr>
          <w:vertAlign w:val="baseline"/>
        </w:rPr>
        <w:t xml:space="preserve">             </w:t>
      </w:r>
      <w:r>
        <w:rPr>
          <w:vertAlign w:val="baseline"/>
        </w:rPr>
        <w:t xml:space="preserve">            </w:t>
      </w:r>
      <w:r>
        <w:rPr>
          <w:vertAlign w:val="baseline"/>
        </w:rPr>
        <w:t xml:space="preserve">-</w:t>
      </w:r>
      <w:r>
        <w:rPr>
          <w:vertAlign w:val="baseline"/>
        </w:rPr>
        <w:t xml:space="preserve">           </w:t>
      </w:r>
      <w:r>
        <w:rPr>
          <w:vertAlign w:val="baseline"/>
        </w:rPr>
        <w:t xml:space="preserve">  </w:t>
      </w:r>
    </w:p>
    <w:p>
      <w:pPr>
        <w:jc w:val="left"/>
      </w:pPr>
      <w:r>
        <w:rPr>
          <w:b/>
          <w:vertAlign w:val="baseline"/>
        </w:rPr>
        <w:t xml:space="preserve">Az indítvány előterjesztője:</w:t>
      </w:r>
      <w:r>
        <w:rPr>
          <w:vertAlign w:val="baseline"/>
        </w:rPr>
        <w:t xml:space="preserve"> az I. rendű terhelt a védője útján</w:t>
      </w:r>
      <w:r>
        <w:rPr>
          <w:vertAlign w:val="baseline"/>
        </w:rPr>
        <w:t xml:space="preserve">  </w:t>
      </w:r>
    </w:p>
    <w:p>
      <w:pPr>
        <w:jc w:val="left"/>
      </w:pPr>
      <w:r>
        <w:rPr>
          <w:b/>
          <w:vertAlign w:val="baseline"/>
        </w:rPr>
        <w:t xml:space="preserve">Az indítvány iránya:</w:t>
      </w:r>
      <w:r>
        <w:rPr>
          <w:vertAlign w:val="baseline"/>
        </w:rPr>
        <w:t xml:space="preserve"> </w:t>
      </w:r>
      <w:r>
        <w:rPr>
          <w:vertAlign w:val="baseline"/>
        </w:rPr>
        <w:t xml:space="preserve">           </w:t>
      </w:r>
      <w:r>
        <w:rPr>
          <w:vertAlign w:val="baseline"/>
        </w:rPr>
        <w:t xml:space="preserve">a terhelt javára</w:t>
      </w:r>
    </w:p>
    <w:p>
      <w:pPr>
        <w:jc w:val="left"/>
      </w:pPr>
      <w:r>
        <w:rPr>
          <w:vertAlign w:val="baseline"/>
        </w:rPr>
        <w:t xml:space="preserve"> </w:t>
      </w:r>
      <w:r>
        <w:br/>
      </w:r>
    </w:p>
    <w:p>
      <w:pPr>
        <w:jc w:val="left"/>
      </w:pPr>
      <w:r>
        <w:rPr>
          <w:b/>
          <w:vertAlign w:val="baseline"/>
        </w:rPr>
        <w:t xml:space="preserve">Rendelkező rész</w:t>
      </w:r>
    </w:p>
    <w:p>
      <w:pPr>
        <w:jc w:val="left"/>
      </w:pPr>
      <w:r>
        <w:rPr>
          <w:vertAlign w:val="baseline"/>
        </w:rPr>
        <w:t xml:space="preserve"> </w:t>
      </w:r>
      <w:r>
        <w:br/>
      </w:r>
    </w:p>
    <w:p>
      <w:pPr>
        <w:jc w:val="both"/>
      </w:pPr>
      <w:r>
        <w:rPr>
          <w:vertAlign w:val="baseline"/>
        </w:rPr>
        <w:t xml:space="preserve">A </w:t>
      </w:r>
      <w:r>
        <w:rPr>
          <w:vertAlign w:val="baseline"/>
        </w:rPr>
        <w:t xml:space="preserve">Kúria</w:t>
      </w:r>
      <w:r>
        <w:rPr>
          <w:vertAlign w:val="baseline"/>
        </w:rPr>
        <w:t xml:space="preserve"> a kábítószer-kereskedelem bűntette miatt </w:t>
      </w:r>
      <w:r>
        <w:rPr>
          <w:vertAlign w:val="baseline"/>
        </w:rPr>
        <w:t xml:space="preserve">I. rendű terhelt és társai </w:t>
      </w:r>
      <w:r>
        <w:rPr>
          <w:vertAlign w:val="baseline"/>
        </w:rPr>
        <w:t xml:space="preserve">ellen folyamatban volt büntetőügyben az I. rendű terhelt által a védője útján előterjesztett felülvizsgálati indítványt elbírálva a </w:t>
      </w:r>
      <w:r>
        <w:rPr>
          <w:vertAlign w:val="baseline"/>
        </w:rPr>
        <w:t xml:space="preserve">Székesfehérvári Törvényszék</w:t>
      </w:r>
      <w:r>
        <w:rPr>
          <w:vertAlign w:val="baseline"/>
        </w:rPr>
        <w:t xml:space="preserve"> </w:t>
      </w:r>
      <w:r>
        <w:rPr>
          <w:vertAlign w:val="baseline"/>
        </w:rPr>
        <w:t xml:space="preserve">16.B.22/2020/71</w:t>
      </w:r>
      <w:r>
        <w:rPr>
          <w:vertAlign w:val="baseline"/>
        </w:rPr>
        <w:t xml:space="preserve">., illetve a </w:t>
      </w:r>
      <w:r>
        <w:rPr>
          <w:vertAlign w:val="baseline"/>
        </w:rPr>
        <w:t xml:space="preserve">Győri Ítélőtábla</w:t>
      </w:r>
      <w:r>
        <w:rPr>
          <w:vertAlign w:val="baseline"/>
        </w:rPr>
        <w:t xml:space="preserve"> mint másodfokú bíróság </w:t>
      </w:r>
      <w:r>
        <w:rPr>
          <w:vertAlign w:val="baseline"/>
        </w:rPr>
        <w:t xml:space="preserve">Bf.I.30/2021/41</w:t>
      </w:r>
      <w:r>
        <w:rPr>
          <w:vertAlign w:val="baseline"/>
        </w:rPr>
        <w:t xml:space="preserve">. számú </w:t>
      </w:r>
      <w:r>
        <w:rPr>
          <w:vertAlign w:val="baseline"/>
        </w:rPr>
        <w:t xml:space="preserve">ítéletét I. rendű terhelt tekintetében hatályában fenntartja.</w:t>
      </w:r>
    </w:p>
    <w:p>
      <w:pPr>
        <w:jc w:val="left"/>
      </w:pPr>
      <w:r>
        <w:rPr>
          <w:vertAlign w:val="baseline"/>
        </w:rPr>
        <w:t xml:space="preserve"> </w:t>
      </w:r>
      <w:r>
        <w:br/>
      </w:r>
    </w:p>
    <w:p>
      <w:pPr>
        <w:jc w:val="both"/>
      </w:pPr>
      <w:r>
        <w:rPr>
          <w:vertAlign w:val="baseline"/>
        </w:rPr>
        <w:t xml:space="preserve">A </w:t>
      </w:r>
      <w:r>
        <w:rPr>
          <w:vertAlign w:val="baseline"/>
        </w:rPr>
        <w:t xml:space="preserve">Kúria</w:t>
      </w:r>
      <w:r>
        <w:rPr>
          <w:vertAlign w:val="baseline"/>
        </w:rPr>
        <w:t xml:space="preserve"> végzése ellen fellebbezésnek vagy felülvizsgálatnak nincs helye, és ebben az ügyben az indítvány előterjesztője, valamint azonos tartalommal más jogosult újabb felülvizsgálati indítványt nem nyújthat be.</w:t>
      </w:r>
    </w:p>
    <w:p>
      <w:pPr>
        <w:jc w:val="left"/>
      </w:pPr>
      <w:r>
        <w:rPr>
          <w:vertAlign w:val="baseline"/>
        </w:rPr>
        <w:t xml:space="preserve"> </w:t>
      </w:r>
      <w:r>
        <w:br/>
      </w:r>
    </w:p>
    <w:p>
      <w:pPr>
        <w:jc w:val="center"/>
      </w:pPr>
      <w:r>
        <w:rPr>
          <w:b/>
          <w:vertAlign w:val="baseline"/>
        </w:rPr>
        <w:t xml:space="preserve">Indokolás</w:t>
      </w:r>
    </w:p>
    <w:p>
      <w:pPr>
        <w:jc w:val="left"/>
      </w:pPr>
      <w:r>
        <w:rPr>
          <w:vertAlign w:val="baseline"/>
        </w:rPr>
        <w:t xml:space="preserve"> </w:t>
      </w:r>
      <w:r>
        <w:br/>
      </w:r>
    </w:p>
    <w:p>
      <w:pPr>
        <w:jc w:val="both"/>
      </w:pPr>
      <w:r>
        <w:rPr>
          <w:vertAlign w:val="baseline"/>
        </w:rPr>
        <w:t xml:space="preserve">[1]</w:t>
      </w:r>
      <w:r>
        <w:rPr>
          <w:vertAlign w:val="baseline"/>
        </w:rPr>
        <w:t xml:space="preserve">          </w:t>
      </w:r>
      <w:r>
        <w:rPr>
          <w:b/>
          <w:vertAlign w:val="baseline"/>
        </w:rPr>
        <w:t xml:space="preserve">I.</w:t>
      </w:r>
      <w:r>
        <w:rPr>
          <w:vertAlign w:val="baseline"/>
        </w:rPr>
        <w:t xml:space="preserve"> 1. A </w:t>
      </w:r>
      <w:r>
        <w:rPr>
          <w:vertAlign w:val="baseline"/>
        </w:rPr>
        <w:t xml:space="preserve">Székesfehérvári Törvényszék</w:t>
      </w:r>
      <w:r>
        <w:rPr>
          <w:vertAlign w:val="baseline"/>
        </w:rPr>
        <w:t xml:space="preserve"> a 2021.</w:t>
      </w:r>
      <w:r>
        <w:rPr>
          <w:vertAlign w:val="baseline"/>
        </w:rPr>
        <w:t xml:space="preserve">  </w:t>
      </w:r>
      <w:r>
        <w:rPr>
          <w:vertAlign w:val="baseline"/>
        </w:rPr>
        <w:t xml:space="preserve">február 5-én kihirdetett </w:t>
      </w:r>
      <w:r>
        <w:rPr>
          <w:vertAlign w:val="baseline"/>
        </w:rPr>
        <w:t xml:space="preserve">16.B.22/2020/71</w:t>
      </w:r>
      <w:r>
        <w:rPr>
          <w:vertAlign w:val="baseline"/>
        </w:rPr>
        <w:t xml:space="preserve">.</w:t>
      </w:r>
      <w:r>
        <w:rPr>
          <w:vertAlign w:val="baseline"/>
        </w:rPr>
        <w:t xml:space="preserve"> </w:t>
      </w:r>
      <w:r>
        <w:rPr>
          <w:vertAlign w:val="baseline"/>
        </w:rPr>
        <w:t xml:space="preserve">számú ítéletével I. rendű terheltet társtettesként elkövetett kábítószer-kereskedelem bűntette [Btk. 176. § (1) bekezdés </w:t>
      </w:r>
      <w:r>
        <w:rPr>
          <w:vertAlign w:val="baseline"/>
        </w:rPr>
        <w:t xml:space="preserve">IV.</w:t>
      </w:r>
      <w:r>
        <w:rPr>
          <w:vertAlign w:val="baseline"/>
        </w:rPr>
        <w:t xml:space="preserve"> fordulat, (3) bekezdés] és társtettesként elkövetett új pszichoaktív anyaggal visszaélés bűntette [Btk. 184. § (1) bekezdés </w:t>
      </w:r>
      <w:r>
        <w:rPr>
          <w:vertAlign w:val="baseline"/>
        </w:rPr>
        <w:t xml:space="preserve">IV.</w:t>
      </w:r>
      <w:r>
        <w:rPr>
          <w:vertAlign w:val="baseline"/>
        </w:rPr>
        <w:t xml:space="preserve"> fordulat, (2) bekezdés a) pont] miatt, halmazati büntetésül </w:t>
      </w:r>
      <w:r>
        <w:rPr>
          <w:vertAlign w:val="baseline"/>
        </w:rPr>
        <w:t xml:space="preserve">7 év, fegyházban végrehajtani rendelt szabadságvesztésre és 8 év közügyektől eltiltásra ítélte azzal, hogy a kiszabott szabadságvesztésből legkorábban a büntetés kétharmad részének a kitöltését követő napon bocsátható feltételes szabadságra. Elrendelte továbbá az I. rendű terhelttel szemben a </w:t>
      </w:r>
      <w:r>
        <w:rPr>
          <w:vertAlign w:val="baseline"/>
        </w:rPr>
        <w:t xml:space="preserve">Lenti Járásbíróság</w:t>
      </w:r>
      <w:r>
        <w:rPr>
          <w:vertAlign w:val="baseline"/>
        </w:rPr>
        <w:t xml:space="preserve"> </w:t>
      </w:r>
      <w:r>
        <w:rPr>
          <w:vertAlign w:val="baseline"/>
        </w:rPr>
        <w:t xml:space="preserve">1.B.6/2018/29</w:t>
      </w:r>
      <w:r>
        <w:rPr>
          <w:vertAlign w:val="baseline"/>
        </w:rPr>
        <w:t xml:space="preserve">. számú ítéletével kiszabott 10 hónapi, valamint a </w:t>
      </w:r>
      <w:r>
        <w:rPr>
          <w:vertAlign w:val="baseline"/>
        </w:rPr>
        <w:t xml:space="preserve">Váci Járásbíróság</w:t>
      </w:r>
      <w:r>
        <w:rPr>
          <w:vertAlign w:val="baseline"/>
        </w:rPr>
        <w:t xml:space="preserve"> </w:t>
      </w:r>
      <w:r>
        <w:rPr>
          <w:vertAlign w:val="baseline"/>
        </w:rPr>
        <w:t xml:space="preserve">6.B.333/2015/21</w:t>
      </w:r>
      <w:r>
        <w:rPr>
          <w:vertAlign w:val="baseline"/>
        </w:rPr>
        <w:t xml:space="preserve">. számú ítéletével kiszabott 6 hónapi – eredetileg végrehajtásukban próbaidőre felfüggesztett – szabadságvesztések végrehajtását.</w:t>
      </w:r>
    </w:p>
    <w:p>
      <w:pPr>
        <w:jc w:val="both"/>
      </w:pPr>
      <w:r>
        <w:rPr>
          <w:vertAlign w:val="baseline"/>
        </w:rPr>
        <w:t xml:space="preserve">[2]</w:t>
      </w:r>
      <w:r>
        <w:rPr>
          <w:vertAlign w:val="baseline"/>
        </w:rPr>
        <w:t xml:space="preserve">          </w:t>
      </w:r>
      <w:r>
        <w:rPr>
          <w:vertAlign w:val="baseline"/>
        </w:rPr>
        <w:t xml:space="preserve">Az ellentétes irányú fellebbezések folytán eljárt </w:t>
      </w:r>
      <w:r>
        <w:rPr>
          <w:vertAlign w:val="baseline"/>
        </w:rPr>
        <w:t xml:space="preserve">Győri Ítélőtábla</w:t>
      </w:r>
      <w:r>
        <w:rPr>
          <w:vertAlign w:val="baseline"/>
        </w:rPr>
        <w:t xml:space="preserve"> mint másodfokú bíróság a 2021. szeptember 7-én meghozott </w:t>
      </w:r>
      <w:r>
        <w:rPr>
          <w:vertAlign w:val="baseline"/>
        </w:rPr>
        <w:t xml:space="preserve">Bf.I.30/2021/41</w:t>
      </w:r>
      <w:r>
        <w:rPr>
          <w:vertAlign w:val="baseline"/>
        </w:rPr>
        <w:t xml:space="preserve">.</w:t>
      </w:r>
      <w:r>
        <w:rPr>
          <w:vertAlign w:val="baseline"/>
        </w:rPr>
        <w:t xml:space="preserve"> számú ítéletével az elsőfokú ítéletet a járulékos rendelkezések körében megváltoztatta, egyebekben azonban a törvényszék ítéletét az I. rendű terhelt tekintetében helybenhagyta.</w:t>
      </w:r>
    </w:p>
    <w:p>
      <w:pPr>
        <w:jc w:val="both"/>
      </w:pPr>
      <w:r>
        <w:rPr>
          <w:vertAlign w:val="baseline"/>
        </w:rPr>
        <w:t xml:space="preserve">[3]</w:t>
      </w:r>
      <w:r>
        <w:rPr>
          <w:vertAlign w:val="baseline"/>
        </w:rPr>
        <w:t xml:space="preserve">          </w:t>
      </w:r>
      <w:r>
        <w:rPr>
          <w:vertAlign w:val="baseline"/>
        </w:rPr>
        <w:t xml:space="preserve">A jogerős ítéletben megállapított tényállás szerint a … településen több éve, nyaranta megrendezésre kerül a … elnevezésű fesztivál. A fesztiválozók körében gyakori a kábítószernek, vagy új pszichoaktív anyagnak minősülő tiltott szerek fogyasztása. Ezért a rendőrség is rendszeresen figyelemmel kíséri az ezzel összefüggő cselekményeket.</w:t>
      </w:r>
    </w:p>
    <w:p>
      <w:pPr>
        <w:jc w:val="both"/>
      </w:pPr>
      <w:r>
        <w:rPr>
          <w:vertAlign w:val="baseline"/>
        </w:rPr>
        <w:t xml:space="preserve">[4]</w:t>
      </w:r>
      <w:r>
        <w:rPr>
          <w:vertAlign w:val="baseline"/>
        </w:rPr>
        <w:t xml:space="preserve">          </w:t>
      </w:r>
      <w:r>
        <w:rPr>
          <w:vertAlign w:val="baseline"/>
        </w:rPr>
        <w:t xml:space="preserve">Az ilyen jellegű tiltott szereknek a rendezvényen történő fogyasztásáról a terheltek is információval rendelkeztek, hiszen I. rendű terhelttel szemben a 2018-ban tartott fesztiválon elkövetett cselekménye miatt, kábítószer birtoklása folytán büntetőeljárás is indult. I. rendű terhelt régóta ismerősi viszonyban állt </w:t>
      </w:r>
      <w:r>
        <w:rPr>
          <w:vertAlign w:val="baseline"/>
        </w:rPr>
        <w:t xml:space="preserve">III.</w:t>
      </w:r>
      <w:r>
        <w:rPr>
          <w:vertAlign w:val="baseline"/>
        </w:rPr>
        <w:t xml:space="preserve"> rendű terhelttel, aki pedig jól ismerte a </w:t>
      </w:r>
      <w:r>
        <w:rPr>
          <w:vertAlign w:val="baseline"/>
        </w:rPr>
        <w:t xml:space="preserve">II.</w:t>
      </w:r>
      <w:r>
        <w:rPr>
          <w:vertAlign w:val="baseline"/>
        </w:rPr>
        <w:t xml:space="preserve"> rendű terheltet, aki így került kapcsolatba az I. rendű terhelttel. Az előéletük okán mindhárman vagy kábítószerrel, vagy új pszichoaktív anyaggal kapcsolatba kerültek. Mindezen előzményeket követően az I. rendű, a </w:t>
      </w:r>
      <w:r>
        <w:rPr>
          <w:vertAlign w:val="baseline"/>
        </w:rPr>
        <w:t xml:space="preserve">II.</w:t>
      </w:r>
      <w:r>
        <w:rPr>
          <w:vertAlign w:val="baseline"/>
        </w:rPr>
        <w:t xml:space="preserve"> rendű és a </w:t>
      </w:r>
      <w:r>
        <w:rPr>
          <w:vertAlign w:val="baseline"/>
        </w:rPr>
        <w:t xml:space="preserve">III.</w:t>
      </w:r>
      <w:r>
        <w:rPr>
          <w:vertAlign w:val="baseline"/>
        </w:rPr>
        <w:t xml:space="preserve"> rendű terhelt úgy határozott, hogy a 2019. július végétől megrendezésre kerülő fesztiválon haszonszerzési céllal, együtt kábítószert, illetve új pszichoaktív anyagot fognak értékesíteni. Elhatározásuknak megfelelően, utólag már pontosan meg nem állapítható helyről és időben kábítószernek minősülő marihuánát, </w:t>
      </w:r>
      <w:r>
        <w:rPr>
          <w:vertAlign w:val="baseline"/>
        </w:rPr>
        <w:t xml:space="preserve">MDMA</w:t>
      </w:r>
      <w:r>
        <w:rPr>
          <w:vertAlign w:val="baseline"/>
        </w:rPr>
        <w:t xml:space="preserve"> tartalmú, úgynevezett ecstasy tablettákat, szintén </w:t>
      </w:r>
      <w:r>
        <w:rPr>
          <w:vertAlign w:val="baseline"/>
        </w:rPr>
        <w:t xml:space="preserve">MDMA</w:t>
      </w:r>
      <w:r>
        <w:rPr>
          <w:vertAlign w:val="baseline"/>
        </w:rPr>
        <w:t xml:space="preserve"> tartalmú kristályos anyagot, illetve etil-heptedron tartalmú, úgynevezett új pszichoaktív anyagot szereztek be.</w:t>
      </w:r>
    </w:p>
    <w:p>
      <w:pPr>
        <w:jc w:val="both"/>
      </w:pPr>
      <w:r>
        <w:rPr>
          <w:vertAlign w:val="baseline"/>
        </w:rPr>
        <w:t xml:space="preserve">[5]</w:t>
      </w:r>
      <w:r>
        <w:rPr>
          <w:vertAlign w:val="baseline"/>
        </w:rPr>
        <w:t xml:space="preserve">          </w:t>
      </w:r>
      <w:r>
        <w:rPr>
          <w:vertAlign w:val="baseline"/>
        </w:rPr>
        <w:t xml:space="preserve">Az I. rendű és a </w:t>
      </w:r>
      <w:r>
        <w:rPr>
          <w:vertAlign w:val="baseline"/>
        </w:rPr>
        <w:t xml:space="preserve">III.</w:t>
      </w:r>
      <w:r>
        <w:rPr>
          <w:vertAlign w:val="baseline"/>
        </w:rPr>
        <w:t xml:space="preserve"> rendű terhelt 2019. július 28-án délután 15:30 óra tájában érkezett meg a fesztivál területére az I. rendű terhelt által bérelt </w:t>
      </w:r>
      <w:r>
        <w:rPr>
          <w:vertAlign w:val="baseline"/>
        </w:rPr>
        <w:t xml:space="preserve">Mercedes Vito</w:t>
      </w:r>
      <w:r>
        <w:rPr>
          <w:vertAlign w:val="baseline"/>
        </w:rPr>
        <w:t xml:space="preserve"> típusú személygépkocsival, ahol </w:t>
      </w:r>
      <w:r>
        <w:rPr>
          <w:vertAlign w:val="baseline"/>
        </w:rPr>
        <w:t xml:space="preserve">II.</w:t>
      </w:r>
      <w:r>
        <w:rPr>
          <w:vertAlign w:val="baseline"/>
        </w:rPr>
        <w:t xml:space="preserve"> rendű terhelt csatlakozott hozzájuk. A megszerzett kábítószer és új pszichoaktív anyag ekkorra, vagyis 2019. július 28-án délutánra egy </w:t>
      </w:r>
      <w:r>
        <w:rPr>
          <w:vertAlign w:val="baseline"/>
        </w:rPr>
        <w:t xml:space="preserve">Opel Astra</w:t>
      </w:r>
      <w:r>
        <w:rPr>
          <w:vertAlign w:val="baseline"/>
        </w:rPr>
        <w:t xml:space="preserve"> típusú személygépkocsiban volt egy kék színű táskában. A találkozásukat követően a terheltek együtt az </w:t>
      </w:r>
      <w:r>
        <w:rPr>
          <w:vertAlign w:val="baseline"/>
        </w:rPr>
        <w:t xml:space="preserve">Opel</w:t>
      </w:r>
      <w:r>
        <w:rPr>
          <w:vertAlign w:val="baseline"/>
        </w:rPr>
        <w:t xml:space="preserve"> személygépkocsihoz mentek, amely a hivatalos iratok szerint cég 1 tulajdonát képezte. A cég székhelye … szám alatt volt, amely székhelyhasználatot használati szerződés biztosította, de az a cég 2 részéről 2019. június 27-vel a bérleti díj kifizetésének elmaradása miatt felmondásra került. Azonban a fesztiválon a gépjármű felett a rendelkezési jogot a terheltek gyakorolták akként, hogy annak a forgalmi engedélye és indítókulcsa a birtokukban volt, mert azt a </w:t>
      </w:r>
      <w:r>
        <w:rPr>
          <w:vertAlign w:val="baseline"/>
        </w:rPr>
        <w:t xml:space="preserve">III.</w:t>
      </w:r>
      <w:r>
        <w:rPr>
          <w:vertAlign w:val="baseline"/>
        </w:rPr>
        <w:t xml:space="preserve"> rendű terhelt tartotta magánál. Az </w:t>
      </w:r>
      <w:r>
        <w:rPr>
          <w:vertAlign w:val="baseline"/>
        </w:rPr>
        <w:t xml:space="preserve">Opel Astra</w:t>
      </w:r>
      <w:r>
        <w:rPr>
          <w:vertAlign w:val="baseline"/>
        </w:rPr>
        <w:t xml:space="preserve"> típusú személygépkocsiban ekkor már elhelyezett és részben kiporciózott illegális anyagból kisebb mennyiséget a </w:t>
      </w:r>
      <w:r>
        <w:rPr>
          <w:vertAlign w:val="baseline"/>
        </w:rPr>
        <w:t xml:space="preserve">II.</w:t>
      </w:r>
      <w:r>
        <w:rPr>
          <w:vertAlign w:val="baseline"/>
        </w:rPr>
        <w:t xml:space="preserve"> rendű és a </w:t>
      </w:r>
      <w:r>
        <w:rPr>
          <w:vertAlign w:val="baseline"/>
        </w:rPr>
        <w:t xml:space="preserve">III.</w:t>
      </w:r>
      <w:r>
        <w:rPr>
          <w:vertAlign w:val="baseline"/>
        </w:rPr>
        <w:t xml:space="preserve"> rendű terhelt vette magához, majd az I. rendű terhelttel együtt haladva, mindhárman elindultak a náluk lévő kábítószer, illetve új pszichoaktív anyag értékesítése céljából a fesztiválozók sátrai irányába, az ott tartózkodókat meg-megszólítva. Így kerültek kapcsolatba egy férfival, aki számára a magukhoz vett illegális anyagot akarták eladni az I. rendű terhelt figyelése mellett. Egy adag átadása az érintettnek megtörtént, aki azt megnézve onnan eltávozott. Ezt követően visszatértek az </w:t>
      </w:r>
      <w:r>
        <w:rPr>
          <w:vertAlign w:val="baseline"/>
        </w:rPr>
        <w:t xml:space="preserve">Opel</w:t>
      </w:r>
      <w:r>
        <w:rPr>
          <w:vertAlign w:val="baseline"/>
        </w:rPr>
        <w:t xml:space="preserve"> személygépkocsihoz, ahol az I. rendű terhelt irányítása alapján a </w:t>
      </w:r>
      <w:r>
        <w:rPr>
          <w:vertAlign w:val="baseline"/>
        </w:rPr>
        <w:t xml:space="preserve">III.</w:t>
      </w:r>
      <w:r>
        <w:rPr>
          <w:vertAlign w:val="baseline"/>
        </w:rPr>
        <w:t xml:space="preserve"> rendű terhelt egy általuk megfelelőbbnek ítélt helyre parkolt át a járművel. Majd újból együtt indultak el az </w:t>
      </w:r>
      <w:r>
        <w:rPr>
          <w:vertAlign w:val="baseline"/>
        </w:rPr>
        <w:t xml:space="preserve">Opeltől</w:t>
      </w:r>
      <w:r>
        <w:rPr>
          <w:vertAlign w:val="baseline"/>
        </w:rPr>
        <w:t xml:space="preserve"> a sűrűn elhelyezett sátrak irányába, ahol az ott tartózkodókhoz először </w:t>
      </w:r>
      <w:r>
        <w:rPr>
          <w:vertAlign w:val="baseline"/>
        </w:rPr>
        <w:t xml:space="preserve">II.</w:t>
      </w:r>
      <w:r>
        <w:rPr>
          <w:vertAlign w:val="baseline"/>
        </w:rPr>
        <w:t xml:space="preserve"> rendű és </w:t>
      </w:r>
      <w:r>
        <w:rPr>
          <w:vertAlign w:val="baseline"/>
        </w:rPr>
        <w:t xml:space="preserve">III.</w:t>
      </w:r>
      <w:r>
        <w:rPr>
          <w:vertAlign w:val="baseline"/>
        </w:rPr>
        <w:t xml:space="preserve"> rendű terhelt ment oda beszélgetést kezdeményezve, míg az I. rendű terhelt kissé hátramaradva továbbra is figyelte a környezet mozgását. Amikor pedig egy nagyobb sátorhoz értek, ahol sokan tartózkodtak, maga is csatlakozott közvetlenül a társaihoz, bekapcsolódva az eladásba.</w:t>
      </w:r>
    </w:p>
    <w:p>
      <w:pPr>
        <w:jc w:val="both"/>
      </w:pPr>
      <w:r>
        <w:rPr>
          <w:vertAlign w:val="baseline"/>
        </w:rPr>
        <w:t xml:space="preserve">[6]</w:t>
      </w:r>
      <w:r>
        <w:rPr>
          <w:vertAlign w:val="baseline"/>
        </w:rPr>
        <w:t xml:space="preserve">          </w:t>
      </w:r>
      <w:r>
        <w:rPr>
          <w:vertAlign w:val="baseline"/>
        </w:rPr>
        <w:t xml:space="preserve">A tevékenységüket folyamatosan figyelemmel kísérő rendőri egység jelzése alapján a terheltek igazoltatására került sor. Ekkor beigazolódott, hogy az I. rendű, a </w:t>
      </w:r>
      <w:r>
        <w:rPr>
          <w:vertAlign w:val="baseline"/>
        </w:rPr>
        <w:t xml:space="preserve">II.</w:t>
      </w:r>
      <w:r>
        <w:rPr>
          <w:vertAlign w:val="baseline"/>
        </w:rPr>
        <w:t xml:space="preserve"> rendű és a </w:t>
      </w:r>
      <w:r>
        <w:rPr>
          <w:vertAlign w:val="baseline"/>
        </w:rPr>
        <w:t xml:space="preserve">III.</w:t>
      </w:r>
      <w:r>
        <w:rPr>
          <w:vertAlign w:val="baseline"/>
        </w:rPr>
        <w:t xml:space="preserve"> rendű terhelt kábítószer, illetve új pszichoaktív anyag értékesítése érdekében kereste fel a fesztiválozókat, mert az igazoltatást követően a nyomozó hatóság az </w:t>
      </w:r>
      <w:r>
        <w:rPr>
          <w:vertAlign w:val="baseline"/>
        </w:rPr>
        <w:t xml:space="preserve">Opelből</w:t>
      </w:r>
      <w:r>
        <w:rPr>
          <w:vertAlign w:val="baseline"/>
        </w:rPr>
        <w:t xml:space="preserve"> lefoglalta az alábbi anyagokat:</w:t>
      </w:r>
    </w:p>
    <w:p>
      <w:pPr>
        <w:jc w:val="both"/>
      </w:pPr>
      <w:r>
        <w:rPr>
          <w:vertAlign w:val="baseline"/>
        </w:rPr>
        <w:t xml:space="preserve">- 453,93 g </w:t>
      </w:r>
      <w:r>
        <w:rPr>
          <w:vertAlign w:val="baseline"/>
        </w:rPr>
        <w:t xml:space="preserve">Delta</w:t>
      </w:r>
      <w:r>
        <w:rPr>
          <w:vertAlign w:val="baseline"/>
        </w:rPr>
        <w:t xml:space="preserve">-9-THC tartalmú növényi ágvégződést, becsült hatóanyag-tartalma </w:t>
      </w:r>
      <w:r>
        <w:rPr>
          <w:vertAlign w:val="baseline"/>
        </w:rPr>
        <w:t xml:space="preserve">0,91-90,6</w:t>
      </w:r>
      <w:r>
        <w:rPr>
          <w:vertAlign w:val="baseline"/>
        </w:rPr>
        <w:t xml:space="preserve"> g </w:t>
      </w:r>
      <w:r>
        <w:rPr>
          <w:vertAlign w:val="baseline"/>
        </w:rPr>
        <w:t xml:space="preserve">Total</w:t>
      </w:r>
      <w:r>
        <w:rPr>
          <w:vertAlign w:val="baseline"/>
        </w:rPr>
        <w:t xml:space="preserve">-THC;</w:t>
      </w:r>
    </w:p>
    <w:p>
      <w:pPr>
        <w:jc w:val="both"/>
      </w:pPr>
      <w:r>
        <w:rPr>
          <w:vertAlign w:val="baseline"/>
        </w:rPr>
        <w:t xml:space="preserve">- 69,04 g </w:t>
      </w:r>
      <w:r>
        <w:rPr>
          <w:vertAlign w:val="baseline"/>
        </w:rPr>
        <w:t xml:space="preserve">MDMA</w:t>
      </w:r>
      <w:r>
        <w:rPr>
          <w:vertAlign w:val="baseline"/>
        </w:rPr>
        <w:t xml:space="preserve"> tartamú kristályos anyagot, becsült hatóanyag-tartalma </w:t>
      </w:r>
      <w:r>
        <w:rPr>
          <w:vertAlign w:val="baseline"/>
        </w:rPr>
        <w:t xml:space="preserve">17,3-55,2</w:t>
      </w:r>
      <w:r>
        <w:rPr>
          <w:vertAlign w:val="baseline"/>
        </w:rPr>
        <w:t xml:space="preserve"> g </w:t>
      </w:r>
      <w:r>
        <w:rPr>
          <w:vertAlign w:val="baseline"/>
        </w:rPr>
        <w:t xml:space="preserve">MDMA</w:t>
      </w:r>
      <w:r>
        <w:rPr>
          <w:vertAlign w:val="baseline"/>
        </w:rPr>
        <w:t xml:space="preserve"> bázis;</w:t>
      </w:r>
    </w:p>
    <w:p>
      <w:pPr>
        <w:jc w:val="both"/>
      </w:pPr>
      <w:r>
        <w:rPr>
          <w:vertAlign w:val="baseline"/>
        </w:rPr>
        <w:t xml:space="preserve">- 448 db </w:t>
      </w:r>
      <w:r>
        <w:rPr>
          <w:vertAlign w:val="baseline"/>
        </w:rPr>
        <w:t xml:space="preserve">MDMA</w:t>
      </w:r>
      <w:r>
        <w:rPr>
          <w:vertAlign w:val="baseline"/>
        </w:rPr>
        <w:t xml:space="preserve"> tartalmú tablettát, mért hatóanyag-tartalma 71,2 g </w:t>
      </w:r>
      <w:r>
        <w:rPr>
          <w:vertAlign w:val="baseline"/>
        </w:rPr>
        <w:t xml:space="preserve">MDMA</w:t>
      </w:r>
      <w:r>
        <w:rPr>
          <w:vertAlign w:val="baseline"/>
        </w:rPr>
        <w:t xml:space="preserve"> bázis.</w:t>
      </w:r>
    </w:p>
    <w:p>
      <w:pPr>
        <w:jc w:val="both"/>
      </w:pPr>
      <w:r>
        <w:rPr>
          <w:vertAlign w:val="baseline"/>
        </w:rPr>
        <w:t xml:space="preserve">[7]</w:t>
      </w:r>
      <w:r>
        <w:rPr>
          <w:vertAlign w:val="baseline"/>
        </w:rPr>
        <w:t xml:space="preserve">          </w:t>
      </w:r>
      <w:r>
        <w:rPr>
          <w:vertAlign w:val="baseline"/>
        </w:rPr>
        <w:t xml:space="preserve">A kábítószerek mennyisége meghaladta a jelentős mennyiség alsó határát, annak </w:t>
      </w:r>
      <w:r>
        <w:rPr>
          <w:vertAlign w:val="baseline"/>
        </w:rPr>
        <w:t xml:space="preserve">443-708</w:t>
      </w:r>
      <w:r>
        <w:rPr>
          <w:vertAlign w:val="baseline"/>
        </w:rPr>
        <w:t xml:space="preserve">%-a volt, de nem érte el a különösen jelentős mennyiség alsó határát, annak </w:t>
      </w:r>
      <w:r>
        <w:rPr>
          <w:vertAlign w:val="baseline"/>
        </w:rPr>
        <w:t xml:space="preserve">44,4-70,8</w:t>
      </w:r>
      <w:r>
        <w:rPr>
          <w:vertAlign w:val="baseline"/>
        </w:rPr>
        <w:t xml:space="preserve">%-a volt.</w:t>
      </w:r>
    </w:p>
    <w:p>
      <w:pPr>
        <w:jc w:val="both"/>
      </w:pPr>
      <w:r>
        <w:rPr>
          <w:vertAlign w:val="baseline"/>
        </w:rPr>
        <w:t xml:space="preserve">[8]</w:t>
      </w:r>
      <w:r>
        <w:rPr>
          <w:vertAlign w:val="baseline"/>
        </w:rPr>
        <w:t xml:space="preserve">          </w:t>
      </w:r>
      <w:r>
        <w:rPr>
          <w:vertAlign w:val="baseline"/>
        </w:rPr>
        <w:t xml:space="preserve">Továbbá</w:t>
      </w:r>
      <w:r>
        <w:rPr>
          <w:vertAlign w:val="baseline"/>
        </w:rPr>
        <w:t xml:space="preserve"> a nyomozó hatóság lefoglalt 185 db simítózáras műanyagtasakba kimért etil-heptedron hatóanyag-tartalmú por állagú anyagot, amelynek a mért etil-heptedron bázis mennyisége 101,4 g volt, amely meghaladta a csekély mennyiség felső határát, annak mintegy ötvenszerese volt. A nyomozó hatóság lefoglalta az új pszichoaktív anyagot is.</w:t>
      </w:r>
    </w:p>
    <w:p>
      <w:pPr>
        <w:jc w:val="both"/>
      </w:pPr>
      <w:r>
        <w:rPr>
          <w:vertAlign w:val="baseline"/>
        </w:rPr>
        <w:t xml:space="preserve">[9]</w:t>
      </w:r>
      <w:r>
        <w:rPr>
          <w:vertAlign w:val="baseline"/>
        </w:rPr>
        <w:t xml:space="preserve">          </w:t>
      </w:r>
      <w:r>
        <w:rPr>
          <w:vertAlign w:val="baseline"/>
        </w:rPr>
        <w:t xml:space="preserve">A rendőri intézkedést megelőzően az I. rendű terhelt kokaint, a </w:t>
      </w:r>
      <w:r>
        <w:rPr>
          <w:vertAlign w:val="baseline"/>
        </w:rPr>
        <w:t xml:space="preserve">II.</w:t>
      </w:r>
      <w:r>
        <w:rPr>
          <w:vertAlign w:val="baseline"/>
        </w:rPr>
        <w:t xml:space="preserve"> rendű terhelt ecstasyt és marihuánát, míg a </w:t>
      </w:r>
      <w:r>
        <w:rPr>
          <w:vertAlign w:val="baseline"/>
        </w:rPr>
        <w:t xml:space="preserve">III.</w:t>
      </w:r>
      <w:r>
        <w:rPr>
          <w:vertAlign w:val="baseline"/>
        </w:rPr>
        <w:t xml:space="preserve"> rendű terhelt kokaint és marihuánát fogyasztott.</w:t>
      </w:r>
    </w:p>
    <w:p>
      <w:pPr>
        <w:jc w:val="both"/>
      </w:pPr>
      <w:r>
        <w:rPr>
          <w:vertAlign w:val="baseline"/>
        </w:rPr>
        <w:t xml:space="preserve">[10]</w:t>
      </w:r>
      <w:r>
        <w:rPr>
          <w:vertAlign w:val="baseline"/>
        </w:rPr>
        <w:t xml:space="preserve">      </w:t>
      </w:r>
      <w:r>
        <w:rPr>
          <w:b/>
          <w:vertAlign w:val="baseline"/>
        </w:rPr>
        <w:t xml:space="preserve">II.</w:t>
      </w:r>
      <w:r>
        <w:rPr>
          <w:vertAlign w:val="baseline"/>
        </w:rPr>
        <w:t xml:space="preserve"> 1. A jogerős ügydöntő határozat ellen – védője útján – az I. rendű terhelt terjesztett elő felülvizsgálati indítványt, a büntető anyagi jog szabályainak megsértésére hivatkozva.</w:t>
      </w:r>
    </w:p>
    <w:p>
      <w:pPr>
        <w:jc w:val="both"/>
      </w:pPr>
      <w:r>
        <w:rPr>
          <w:vertAlign w:val="baseline"/>
        </w:rPr>
        <w:t xml:space="preserve">[11]</w:t>
      </w:r>
      <w:r>
        <w:rPr>
          <w:vertAlign w:val="baseline"/>
        </w:rPr>
        <w:t xml:space="preserve">      </w:t>
      </w:r>
      <w:r>
        <w:rPr>
          <w:vertAlign w:val="baseline"/>
        </w:rPr>
        <w:t xml:space="preserve">Indítványában</w:t>
      </w:r>
      <w:r>
        <w:rPr>
          <w:vertAlign w:val="baseline"/>
        </w:rPr>
        <w:t xml:space="preserve"> „számtalan jogegységi határozatra” és a </w:t>
      </w:r>
      <w:r>
        <w:rPr>
          <w:vertAlign w:val="baseline"/>
        </w:rPr>
        <w:t xml:space="preserve">Fővárosi Ítélőtábla</w:t>
      </w:r>
      <w:r>
        <w:rPr>
          <w:vertAlign w:val="baseline"/>
        </w:rPr>
        <w:t xml:space="preserve"> „</w:t>
      </w:r>
      <w:r>
        <w:rPr>
          <w:vertAlign w:val="baseline"/>
        </w:rPr>
        <w:t xml:space="preserve">298/2019</w:t>
      </w:r>
      <w:r>
        <w:rPr>
          <w:vertAlign w:val="baseline"/>
        </w:rPr>
        <w:t xml:space="preserve">. számú határozatára” való hivatkozással a kereskedés megállapításához szükségesnek tartotta, hogy az elkövető előzetesen kereskedéssel összefüggő tevékenységet folytasson, „tehát szükséges eladó, vevő felkutatása is”. Ezért – meglátása szerint – az a tény, hogy valakinél jelentős mennyiségű kábítószer van, még nem jelenti azt, hogy a kábítószer forgalomba kerül, azaz, ilyen esetben az elkövető magatartása a forgalomba hozatal előkészületi szakáig sem jut el. Ha pedig a terjesztői típusú elkövetési magatartás enyhébb megítélésű előkészülete nem valósul meg, akkor „bármely fogyasztói típusú elkövetési magatartás befejezett alakzatát” kell megállapítani. Hasonló következtetést tartott levonhatónak az </w:t>
      </w:r>
      <w:r>
        <w:rPr>
          <w:vertAlign w:val="baseline"/>
        </w:rPr>
        <w:t xml:space="preserve">1/2007</w:t>
      </w:r>
      <w:r>
        <w:rPr>
          <w:vertAlign w:val="baseline"/>
        </w:rPr>
        <w:t xml:space="preserve">. Büntető jogegységi határozat alapján, amely ugyancsak rögzíti, hogy a kereskedés megállapításához a kábítószer mennyiségéből önmagában még nem vonható le következtetés, mert elengedhetetlenül szükséges feltétel a rendszeresség, illetőleg a rendszeresen ismétlődő anyagi haszon fejében folytatott adásvételek ténye.</w:t>
      </w:r>
    </w:p>
    <w:p>
      <w:pPr>
        <w:jc w:val="both"/>
      </w:pPr>
      <w:r>
        <w:rPr>
          <w:vertAlign w:val="baseline"/>
        </w:rPr>
        <w:t xml:space="preserve">[12]</w:t>
      </w:r>
      <w:r>
        <w:rPr>
          <w:vertAlign w:val="baseline"/>
        </w:rPr>
        <w:t xml:space="preserve">      </w:t>
      </w:r>
      <w:r>
        <w:rPr>
          <w:vertAlign w:val="baseline"/>
        </w:rPr>
        <w:t xml:space="preserve">Kifejtett</w:t>
      </w:r>
      <w:r>
        <w:rPr>
          <w:vertAlign w:val="baseline"/>
        </w:rPr>
        <w:t xml:space="preserve"> érvei alapján az I. rendű terhelt cselekményének eltérő minősítését tartotta megállapíthatónak, a helyesnek vélt minősítés azonosítása nélkül.</w:t>
      </w:r>
    </w:p>
    <w:p>
      <w:pPr>
        <w:jc w:val="both"/>
      </w:pPr>
      <w:r>
        <w:rPr>
          <w:vertAlign w:val="baseline"/>
        </w:rPr>
        <w:t xml:space="preserve">[13]</w:t>
      </w:r>
      <w:r>
        <w:rPr>
          <w:vertAlign w:val="baseline"/>
        </w:rPr>
        <w:t xml:space="preserve">      </w:t>
      </w:r>
      <w:r>
        <w:rPr>
          <w:vertAlign w:val="baseline"/>
        </w:rPr>
        <w:t xml:space="preserve">Indítványozta</w:t>
      </w:r>
      <w:r>
        <w:rPr>
          <w:vertAlign w:val="baseline"/>
        </w:rPr>
        <w:t xml:space="preserve"> ezért, hogy a </w:t>
      </w:r>
      <w:r>
        <w:rPr>
          <w:vertAlign w:val="baseline"/>
        </w:rPr>
        <w:t xml:space="preserve">Kúria</w:t>
      </w:r>
      <w:r>
        <w:rPr>
          <w:vertAlign w:val="baseline"/>
        </w:rPr>
        <w:t xml:space="preserve"> a jogerős ítélet megváltoztatásával „eltérő minősítést </w:t>
      </w:r>
      <w:r>
        <w:rPr>
          <w:vertAlign w:val="baseline"/>
        </w:rPr>
        <w:t xml:space="preserve">                         </w:t>
      </w:r>
      <w:r>
        <w:rPr>
          <w:vertAlign w:val="baseline"/>
        </w:rPr>
        <w:t xml:space="preserve">– kereskedői minősítés mellőzése – állapítson meg” az I. rendű terhelt cselekményére.</w:t>
      </w:r>
    </w:p>
    <w:p>
      <w:pPr>
        <w:jc w:val="both"/>
      </w:pPr>
      <w:r>
        <w:rPr>
          <w:vertAlign w:val="baseline"/>
        </w:rPr>
        <w:t xml:space="preserve">[14]</w:t>
      </w:r>
      <w:r>
        <w:rPr>
          <w:vertAlign w:val="baseline"/>
        </w:rPr>
        <w:t xml:space="preserve">      </w:t>
      </w:r>
      <w:r>
        <w:rPr>
          <w:vertAlign w:val="baseline"/>
        </w:rPr>
        <w:t xml:space="preserve">2. A </w:t>
      </w:r>
      <w:r>
        <w:rPr>
          <w:vertAlign w:val="baseline"/>
        </w:rPr>
        <w:t xml:space="preserve">Legfőbb Ügyészség</w:t>
      </w:r>
      <w:r>
        <w:rPr>
          <w:vertAlign w:val="baseline"/>
        </w:rPr>
        <w:t xml:space="preserve"> a </w:t>
      </w:r>
      <w:r>
        <w:rPr>
          <w:vertAlign w:val="baseline"/>
        </w:rPr>
        <w:t xml:space="preserve">BF.21/2023/2</w:t>
      </w:r>
      <w:r>
        <w:rPr>
          <w:vertAlign w:val="baseline"/>
        </w:rPr>
        <w:t xml:space="preserve">. számú átiratában az indítványt részben alaptalannak, részben törvényben kizártnak tartotta. </w:t>
      </w:r>
    </w:p>
    <w:p>
      <w:pPr>
        <w:jc w:val="both"/>
      </w:pPr>
      <w:r>
        <w:rPr>
          <w:vertAlign w:val="baseline"/>
        </w:rPr>
        <w:t xml:space="preserve">[15]</w:t>
      </w:r>
      <w:r>
        <w:rPr>
          <w:vertAlign w:val="baseline"/>
        </w:rPr>
        <w:t xml:space="preserve">      </w:t>
      </w:r>
      <w:r>
        <w:rPr>
          <w:vertAlign w:val="baseline"/>
        </w:rPr>
        <w:t xml:space="preserve">Okfejtése</w:t>
      </w:r>
      <w:r>
        <w:rPr>
          <w:vertAlign w:val="baseline"/>
        </w:rPr>
        <w:t xml:space="preserve"> szerint az indítványozó csak formálisan hivatkozott a büntető anyagi jog szabályainak megsértésére a fogyasztói típusú magatartás megvalósulása mellett érvelve, ténylegesen azonban az ítéleti tényállást támadta, amely arra is kiterjed, hogy az I. rendű terhelt haszonszerzésre törekvő értékesítés végett szerezte meg a tőle és társaitól lefoglalt kábítószert és új pszichoaktív anyagot.</w:t>
      </w:r>
    </w:p>
    <w:p>
      <w:pPr>
        <w:jc w:val="both"/>
      </w:pPr>
      <w:r>
        <w:rPr>
          <w:vertAlign w:val="baseline"/>
        </w:rPr>
        <w:t xml:space="preserve">[16]</w:t>
      </w:r>
      <w:r>
        <w:rPr>
          <w:vertAlign w:val="baseline"/>
        </w:rPr>
        <w:t xml:space="preserve">      </w:t>
      </w:r>
      <w:r>
        <w:rPr>
          <w:vertAlign w:val="baseline"/>
        </w:rPr>
        <w:t xml:space="preserve">Egyebekben</w:t>
      </w:r>
      <w:r>
        <w:rPr>
          <w:vertAlign w:val="baseline"/>
        </w:rPr>
        <w:t xml:space="preserve"> pedig maga is utalt az </w:t>
      </w:r>
      <w:r>
        <w:rPr>
          <w:vertAlign w:val="baseline"/>
        </w:rPr>
        <w:t xml:space="preserve">1/2007</w:t>
      </w:r>
      <w:r>
        <w:rPr>
          <w:vertAlign w:val="baseline"/>
        </w:rPr>
        <w:t xml:space="preserve">. BJE jogegységi határozatra, amely szerint a kereskedés adásvételek által valósul meg, haszonszerzésre irányul, és magában foglal minden olyan tevékenységet, amely elősegíti, hogy a kábítószer eljusson a viszonteladóhoz vagy a fogyasztóhoz. A </w:t>
      </w:r>
      <w:r>
        <w:rPr>
          <w:vertAlign w:val="baseline"/>
        </w:rPr>
        <w:t xml:space="preserve">BH</w:t>
      </w:r>
      <w:r>
        <w:rPr>
          <w:vertAlign w:val="baseline"/>
        </w:rPr>
        <w:t xml:space="preserve"> </w:t>
      </w:r>
      <w:r>
        <w:rPr>
          <w:vertAlign w:val="baseline"/>
        </w:rPr>
        <w:t xml:space="preserve">2017.144.</w:t>
      </w:r>
      <w:r>
        <w:rPr>
          <w:vertAlign w:val="baseline"/>
        </w:rPr>
        <w:t xml:space="preserve"> és a </w:t>
      </w:r>
      <w:r>
        <w:rPr>
          <w:vertAlign w:val="baseline"/>
        </w:rPr>
        <w:t xml:space="preserve">BH</w:t>
      </w:r>
      <w:r>
        <w:rPr>
          <w:vertAlign w:val="baseline"/>
        </w:rPr>
        <w:t xml:space="preserve"> </w:t>
      </w:r>
      <w:r>
        <w:rPr>
          <w:vertAlign w:val="baseline"/>
        </w:rPr>
        <w:t xml:space="preserve">2020.350.</w:t>
      </w:r>
      <w:r>
        <w:rPr>
          <w:vertAlign w:val="baseline"/>
        </w:rPr>
        <w:t xml:space="preserve"> számon közzétett eseti döntésre való utalással ilyen, kereskedésnek – befejezett önálló tettesi cselekménynek – minősülő tevékenységként jelölte meg a kábítószer kereskedés céljából történő megszerzését, készletezését is. Ugyanezt irányadónak tartotta az új pszichoaktív anyaggal visszaélés tekintetében is.</w:t>
      </w:r>
    </w:p>
    <w:p>
      <w:pPr>
        <w:jc w:val="both"/>
      </w:pPr>
      <w:r>
        <w:rPr>
          <w:vertAlign w:val="baseline"/>
        </w:rPr>
        <w:t xml:space="preserve">[17]</w:t>
      </w:r>
      <w:r>
        <w:rPr>
          <w:vertAlign w:val="baseline"/>
        </w:rPr>
        <w:t xml:space="preserve">      </w:t>
      </w:r>
      <w:r>
        <w:rPr>
          <w:vertAlign w:val="baseline"/>
        </w:rPr>
        <w:t xml:space="preserve">Tévesnek</w:t>
      </w:r>
      <w:r>
        <w:rPr>
          <w:vertAlign w:val="baseline"/>
        </w:rPr>
        <w:t xml:space="preserve"> látta azonban a cselekmény minősítését az új pszichoaktív anyaggal visszaélés bűntettét illetően. A Kúria </w:t>
      </w:r>
      <w:r>
        <w:rPr>
          <w:vertAlign w:val="baseline"/>
        </w:rPr>
        <w:t xml:space="preserve">Bfv.II.763/2021/9</w:t>
      </w:r>
      <w:r>
        <w:rPr>
          <w:vertAlign w:val="baseline"/>
        </w:rPr>
        <w:t xml:space="preserve">. számú határozatának [45] és [51] bekezdésében, valamint a </w:t>
      </w:r>
      <w:r>
        <w:rPr>
          <w:vertAlign w:val="baseline"/>
        </w:rPr>
        <w:t xml:space="preserve">BH</w:t>
      </w:r>
      <w:r>
        <w:rPr>
          <w:vertAlign w:val="baseline"/>
        </w:rPr>
        <w:t xml:space="preserve"> </w:t>
      </w:r>
      <w:r>
        <w:rPr>
          <w:vertAlign w:val="baseline"/>
        </w:rPr>
        <w:t xml:space="preserve">2017.178.</w:t>
      </w:r>
      <w:r>
        <w:rPr>
          <w:vertAlign w:val="baseline"/>
        </w:rPr>
        <w:t xml:space="preserve"> szám alatt közzétett eseti döntés [51] bekezdésében írtakat idézve arra a következtetésre jutott, hogy az I. rendű terhelt e bűncselekményt nem bűnszövetségben követte el, mert terhelt-társaival közös elhatározása csupán arra irányult, hogy a 2019. július végétől megrendezendő, egy héten át tartó fesztiválon közösen értékesítsenek kábítószert és új pszichoaktív anyagot. Az együttes elkövetésre irányuló szándékuk ezért rövid időre volt limitált, nélkülözve a tartós és rendszeres együttműködésre irányuló megállapodást. E követelmény teljesülését pedig a bűnszövetség megállapításához is nélkülözhetetlennek vélte.</w:t>
      </w:r>
    </w:p>
    <w:p>
      <w:pPr>
        <w:jc w:val="both"/>
      </w:pPr>
      <w:r>
        <w:rPr>
          <w:vertAlign w:val="baseline"/>
        </w:rPr>
        <w:t xml:space="preserve">[18]</w:t>
      </w:r>
      <w:r>
        <w:rPr>
          <w:vertAlign w:val="baseline"/>
        </w:rPr>
        <w:t xml:space="preserve">      </w:t>
      </w:r>
      <w:r>
        <w:rPr>
          <w:vertAlign w:val="baseline"/>
        </w:rPr>
        <w:t xml:space="preserve">Álláspontja</w:t>
      </w:r>
      <w:r>
        <w:rPr>
          <w:vertAlign w:val="baseline"/>
        </w:rPr>
        <w:t xml:space="preserve"> szerint ugyanakkor a konkrét esetben e törvénysértő minősítés nem eredményezett törvénysértő büntetést, mert a halmazati büntetési tételkeret az új pszichoaktív anyaggal visszaélés helyesnek tartott minősítése mellett is azonos, azaz öt évtől huszonöt évig terjedő vagy életfogytig tartó szabadságvesztés.</w:t>
      </w:r>
    </w:p>
    <w:p>
      <w:pPr>
        <w:jc w:val="both"/>
      </w:pPr>
      <w:r>
        <w:rPr>
          <w:vertAlign w:val="baseline"/>
        </w:rPr>
        <w:t xml:space="preserve">[19]</w:t>
      </w:r>
      <w:r>
        <w:rPr>
          <w:vertAlign w:val="baseline"/>
        </w:rPr>
        <w:t xml:space="preserve">      </w:t>
      </w:r>
      <w:r>
        <w:rPr>
          <w:vertAlign w:val="baseline"/>
        </w:rPr>
        <w:t xml:space="preserve">Mindezek</w:t>
      </w:r>
      <w:r>
        <w:rPr>
          <w:vertAlign w:val="baseline"/>
        </w:rPr>
        <w:t xml:space="preserve"> alapján indítványozta, hogy a </w:t>
      </w:r>
      <w:r>
        <w:rPr>
          <w:vertAlign w:val="baseline"/>
        </w:rPr>
        <w:t xml:space="preserve">Kúria</w:t>
      </w:r>
      <w:r>
        <w:rPr>
          <w:vertAlign w:val="baseline"/>
        </w:rPr>
        <w:t xml:space="preserve"> a jogerős ítéletet az I. rendű terhelt tekintetében hatályában tartsa fenn.</w:t>
      </w:r>
    </w:p>
    <w:p>
      <w:pPr>
        <w:jc w:val="both"/>
      </w:pPr>
      <w:r>
        <w:rPr>
          <w:vertAlign w:val="baseline"/>
        </w:rPr>
        <w:t xml:space="preserve">[20]</w:t>
      </w:r>
      <w:r>
        <w:rPr>
          <w:vertAlign w:val="baseline"/>
        </w:rPr>
        <w:t xml:space="preserve">      </w:t>
      </w:r>
      <w:r>
        <w:rPr>
          <w:b/>
          <w:vertAlign w:val="baseline"/>
        </w:rPr>
        <w:t xml:space="preserve">III.</w:t>
      </w:r>
      <w:r>
        <w:rPr>
          <w:vertAlign w:val="baseline"/>
        </w:rPr>
        <w:t xml:space="preserve"> A felülvizsgálati indítvány nem alapos.</w:t>
      </w:r>
    </w:p>
    <w:p>
      <w:pPr>
        <w:jc w:val="both"/>
      </w:pPr>
      <w:r>
        <w:rPr>
          <w:vertAlign w:val="baseline"/>
        </w:rPr>
        <w:t xml:space="preserve">[21]</w:t>
      </w:r>
      <w:r>
        <w:rPr>
          <w:vertAlign w:val="baseline"/>
        </w:rPr>
        <w:t xml:space="preserve">      </w:t>
      </w:r>
      <w:r>
        <w:rPr>
          <w:vertAlign w:val="baseline"/>
        </w:rPr>
        <w:t xml:space="preserve">1. A felülvizsgálat rendkívüli jogorvoslat, amely a </w:t>
      </w:r>
      <w:r>
        <w:rPr>
          <w:vertAlign w:val="baseline"/>
        </w:rPr>
        <w:t xml:space="preserve">Be.</w:t>
      </w:r>
      <w:r>
        <w:rPr>
          <w:vertAlign w:val="baseline"/>
        </w:rPr>
        <w:t xml:space="preserve"> 648. §-a alapján csak a bíróság jogerős, a vádról rendelkező ügydöntő határozata ellen, kizárólag a </w:t>
      </w:r>
      <w:r>
        <w:rPr>
          <w:vertAlign w:val="baseline"/>
        </w:rPr>
        <w:t xml:space="preserve">Be.</w:t>
      </w:r>
      <w:r>
        <w:rPr>
          <w:vertAlign w:val="baseline"/>
        </w:rPr>
        <w:t xml:space="preserve"> 649. §-ában tételesen felsorolt anyagi és eljárásjogi okokra hivatkozással vehető igénybe. A felülvizsgálati okok törvényi köre nem bővíthető, ezért az azon kívül eső anyagi vagy eljárásjogi kérdések a felülvizsgálatban közömbösek.</w:t>
      </w:r>
    </w:p>
    <w:p>
      <w:pPr>
        <w:jc w:val="both"/>
      </w:pPr>
      <w:r>
        <w:rPr>
          <w:vertAlign w:val="baseline"/>
        </w:rPr>
        <w:t xml:space="preserve">[22]</w:t>
      </w:r>
      <w:r>
        <w:rPr>
          <w:vertAlign w:val="baseline"/>
        </w:rPr>
        <w:t xml:space="preserve">      </w:t>
      </w:r>
      <w:r>
        <w:rPr>
          <w:vertAlign w:val="baseline"/>
        </w:rPr>
        <w:t xml:space="preserve">Az I. rendű terhelt indítványa nyomán a </w:t>
      </w:r>
      <w:r>
        <w:rPr>
          <w:vertAlign w:val="baseline"/>
        </w:rPr>
        <w:t xml:space="preserve">Kúria</w:t>
      </w:r>
      <w:r>
        <w:rPr>
          <w:vertAlign w:val="baseline"/>
        </w:rPr>
        <w:t xml:space="preserve"> a jogerős ügydöntő határozatot a </w:t>
      </w:r>
      <w:r>
        <w:rPr>
          <w:vertAlign w:val="baseline"/>
        </w:rPr>
        <w:t xml:space="preserve">Be.</w:t>
      </w:r>
      <w:r>
        <w:rPr>
          <w:vertAlign w:val="baseline"/>
        </w:rPr>
        <w:t xml:space="preserve"> 649. § (1) bekezdés b) pont ba) alpont I. fordulatában meghatározott okból, éspedig az I. rendű terhelt terhére rótt bűncselekmény törvénysértő minősítését, illetve a kiszabott büntetés törvénysértő jellegét vizsgálva bírálta felül [Be. 659. § (5) bekezdés].</w:t>
      </w:r>
    </w:p>
    <w:p>
      <w:pPr>
        <w:jc w:val="both"/>
      </w:pPr>
      <w:r>
        <w:rPr>
          <w:vertAlign w:val="baseline"/>
        </w:rPr>
        <w:t xml:space="preserve">[23]</w:t>
      </w:r>
      <w:r>
        <w:rPr>
          <w:vertAlign w:val="baseline"/>
        </w:rPr>
        <w:t xml:space="preserve">      </w:t>
      </w:r>
      <w:r>
        <w:rPr>
          <w:vertAlign w:val="baseline"/>
        </w:rPr>
        <w:t xml:space="preserve">A felülvizsgálati eljárás megkerülhetetlen szabálya, hogy a felülvizsgálati indítványban a jogerős ügydöntő határozat által megállapított tényállás nem támadható [Be. 650. § (2) bekezdés]. Ezzel összhangban a felülvizsgálati eljárásban a bizonyítékok ismételt egybevetésének, eltérő értékelésének, valamint bizonyítás felvételének nincs helye, a felülvizsgálati indítvány elbírálásakor a jogerős ügydöntő határozatban megállapított tényállás az irányadó [Be. 659. § (1) bekezdés]. A jogkövetkeztetések helyessége kizárólag az irányadó tényállás alapulvételével ítélhető meg.</w:t>
      </w:r>
    </w:p>
    <w:p>
      <w:pPr>
        <w:jc w:val="both"/>
      </w:pPr>
      <w:r>
        <w:rPr>
          <w:vertAlign w:val="baseline"/>
        </w:rPr>
        <w:t xml:space="preserve">[24]</w:t>
      </w:r>
      <w:r>
        <w:rPr>
          <w:vertAlign w:val="baseline"/>
        </w:rPr>
        <w:t xml:space="preserve">      </w:t>
      </w:r>
      <w:r>
        <w:rPr>
          <w:vertAlign w:val="baseline"/>
        </w:rPr>
        <w:t xml:space="preserve">2. Kizárólag az irányadó tényállás szolgál tehát a büntető anyagi jogi következtetés alapjaként, hogy az I. rendű terhelt terhére megállapított magatartás hiánytalanul kimeríti-e a Btk. 176. § (1) bekezdés </w:t>
      </w:r>
      <w:r>
        <w:rPr>
          <w:vertAlign w:val="baseline"/>
        </w:rPr>
        <w:t xml:space="preserve">IV.</w:t>
      </w:r>
      <w:r>
        <w:rPr>
          <w:vertAlign w:val="baseline"/>
        </w:rPr>
        <w:t xml:space="preserve"> fordulatába ütköző és a (3) bekezdés szerint minősülő kábítószer-kereskedelem bűntettének törvényi tényállási elemeit.</w:t>
      </w:r>
    </w:p>
    <w:p>
      <w:pPr>
        <w:jc w:val="both"/>
      </w:pPr>
      <w:r>
        <w:rPr>
          <w:vertAlign w:val="baseline"/>
        </w:rPr>
        <w:t xml:space="preserve">[25]</w:t>
      </w:r>
      <w:r>
        <w:rPr>
          <w:vertAlign w:val="baseline"/>
        </w:rPr>
        <w:t xml:space="preserve">      </w:t>
      </w:r>
      <w:r>
        <w:rPr>
          <w:vertAlign w:val="baseline"/>
        </w:rPr>
        <w:t xml:space="preserve">Amint</w:t>
      </w:r>
      <w:r>
        <w:rPr>
          <w:vertAlign w:val="baseline"/>
        </w:rPr>
        <w:t xml:space="preserve"> arra az indítványozó és a </w:t>
      </w:r>
      <w:r>
        <w:rPr>
          <w:vertAlign w:val="baseline"/>
        </w:rPr>
        <w:t xml:space="preserve">Legfőbb Ügyészség</w:t>
      </w:r>
      <w:r>
        <w:rPr>
          <w:vertAlign w:val="baseline"/>
        </w:rPr>
        <w:t xml:space="preserve"> is helyesen utalt, a </w:t>
      </w:r>
      <w:r>
        <w:rPr>
          <w:vertAlign w:val="baseline"/>
        </w:rPr>
        <w:t xml:space="preserve">Kúria</w:t>
      </w:r>
      <w:r>
        <w:rPr>
          <w:vertAlign w:val="baseline"/>
        </w:rPr>
        <w:t xml:space="preserve"> jogelődje, a </w:t>
      </w:r>
      <w:r>
        <w:rPr>
          <w:vertAlign w:val="baseline"/>
        </w:rPr>
        <w:t xml:space="preserve">Legfelsőbb Bíróság</w:t>
      </w:r>
      <w:r>
        <w:rPr>
          <w:vertAlign w:val="baseline"/>
        </w:rPr>
        <w:t xml:space="preserve"> az </w:t>
      </w:r>
      <w:r>
        <w:rPr>
          <w:vertAlign w:val="baseline"/>
        </w:rPr>
        <w:t xml:space="preserve">1/2007</w:t>
      </w:r>
      <w:r>
        <w:rPr>
          <w:vertAlign w:val="baseline"/>
        </w:rPr>
        <w:t xml:space="preserve">. BJE jogegységi határozatában vette számba a kereskedéssel megvalósuló kábítószer-kereskedelem ismérveit. Eszerint a kereskedés rendszeresen ismétlődő, anyagi haszon érdekében folytatott adásvétel. A kábítószerrel kereskedés ezért a forgalomba hozatalnál tágabb elkövetési magatartás, amely folyamatos tevékenységek, rendszeres, ismétlődő adásvételek által valósul meg. Haszonszerzésre irányul, és magába foglal minden olyan tevékenységet, amely elősegíti, hogy a kábítószer eljusson a viszonteladóhoz vagy a fogyasztóhoz. Ilyen a kábítószer kereskedés céljából történő megszerzése, készletezése is, amely magatartás befejezett önálló tettesi cselekmény.</w:t>
      </w:r>
    </w:p>
    <w:p>
      <w:pPr>
        <w:jc w:val="both"/>
      </w:pPr>
      <w:r>
        <w:rPr>
          <w:vertAlign w:val="baseline"/>
        </w:rPr>
        <w:t xml:space="preserve">[26]</w:t>
      </w:r>
      <w:r>
        <w:rPr>
          <w:vertAlign w:val="baseline"/>
        </w:rPr>
        <w:t xml:space="preserve">      </w:t>
      </w:r>
      <w:r>
        <w:rPr>
          <w:vertAlign w:val="baseline"/>
        </w:rPr>
        <w:t xml:space="preserve">A kereskedés tehát sokrétű magatartást fed le, amely távolról sem korlátozódik csupán a fogyasztókkal történő adásvételi ügyletek lebonyolítására. A kereskedés ugyanis egyet jelent a piac működtetésével. Olyan folyamatként írható le, amely a kábítószer termesztésével (előállításával) veszi kezdetét, és – akár többszörös adásvételek lebonyolítását, a kábítószer fizikai szállítását követően – a kábítószer fogyasztók részére történő értékesítésével zárul. A kereskedéssel megvalósított kábítószer-kereskedelem bűntetteként minősül ezért bármely, e folyamatba illeszkedő, a kábítószerre tanúsított, rendszeres haszonszerzést célzó magatartás. Ekként – a teljesség igénye nélkül – kereskedésként értékelendő az elkövető által is tudottan továbbértékesítésre szánt kábítószer:</w:t>
      </w:r>
    </w:p>
    <w:p>
      <w:pPr>
        <w:jc w:val="both"/>
      </w:pPr>
      <w:r>
        <w:rPr>
          <w:vertAlign w:val="baseline"/>
        </w:rPr>
        <w:t xml:space="preserve">- előállítása, illetve az abban való közreműködés (</w:t>
      </w:r>
      <w:r>
        <w:rPr>
          <w:vertAlign w:val="baseline"/>
        </w:rPr>
        <w:t xml:space="preserve">Bfv.II.409/2021/6</w:t>
      </w:r>
      <w:r>
        <w:rPr>
          <w:vertAlign w:val="baseline"/>
        </w:rPr>
        <w:t xml:space="preserve">.),</w:t>
      </w:r>
    </w:p>
    <w:p>
      <w:pPr>
        <w:jc w:val="both"/>
      </w:pPr>
      <w:r>
        <w:rPr>
          <w:vertAlign w:val="baseline"/>
        </w:rPr>
        <w:t xml:space="preserve">- külföldről történő beszerzése (</w:t>
      </w:r>
      <w:r>
        <w:rPr>
          <w:vertAlign w:val="baseline"/>
        </w:rPr>
        <w:t xml:space="preserve">Bfv.II.163/2022/9</w:t>
      </w:r>
      <w:r>
        <w:rPr>
          <w:vertAlign w:val="baseline"/>
        </w:rPr>
        <w:t xml:space="preserve">.),</w:t>
      </w:r>
    </w:p>
    <w:p>
      <w:pPr>
        <w:jc w:val="both"/>
      </w:pPr>
      <w:r>
        <w:rPr>
          <w:vertAlign w:val="baseline"/>
        </w:rPr>
        <w:t xml:space="preserve">- szállítása (</w:t>
      </w:r>
      <w:r>
        <w:rPr>
          <w:vertAlign w:val="baseline"/>
        </w:rPr>
        <w:t xml:space="preserve">Bfv.II.691/2021/18</w:t>
      </w:r>
      <w:r>
        <w:rPr>
          <w:vertAlign w:val="baseline"/>
        </w:rPr>
        <w:t xml:space="preserve">.),</w:t>
      </w:r>
    </w:p>
    <w:p>
      <w:pPr>
        <w:jc w:val="both"/>
      </w:pPr>
      <w:r>
        <w:rPr>
          <w:vertAlign w:val="baseline"/>
        </w:rPr>
        <w:t xml:space="preserve">- megszerzése, készletezése, tárolása [</w:t>
      </w:r>
      <w:r>
        <w:rPr>
          <w:vertAlign w:val="baseline"/>
        </w:rPr>
        <w:t xml:space="preserve">Bfv.II.590/2016/5</w:t>
      </w:r>
      <w:r>
        <w:rPr>
          <w:vertAlign w:val="baseline"/>
        </w:rPr>
        <w:t xml:space="preserve">. (BH</w:t>
      </w:r>
      <w:r>
        <w:rPr>
          <w:vertAlign w:val="baseline"/>
        </w:rPr>
        <w:t xml:space="preserve">2017.144.),</w:t>
      </w:r>
      <w:r>
        <w:rPr>
          <w:vertAlign w:val="baseline"/>
        </w:rPr>
        <w:t xml:space="preserve"> </w:t>
      </w:r>
      <w:r>
        <w:rPr>
          <w:vertAlign w:val="baseline"/>
        </w:rPr>
        <w:t xml:space="preserve">Bfv.III.1.332/2019/5</w:t>
      </w:r>
      <w:r>
        <w:rPr>
          <w:vertAlign w:val="baseline"/>
        </w:rPr>
        <w:t xml:space="preserve">. (BH </w:t>
      </w:r>
      <w:r>
        <w:rPr>
          <w:vertAlign w:val="baseline"/>
        </w:rPr>
        <w:t xml:space="preserve">2020.350.)</w:t>
      </w:r>
      <w:r>
        <w:rPr>
          <w:vertAlign w:val="baseline"/>
        </w:rPr>
        <w:t xml:space="preserve">] is.</w:t>
      </w:r>
    </w:p>
    <w:p>
      <w:pPr>
        <w:jc w:val="both"/>
      </w:pPr>
      <w:r>
        <w:rPr>
          <w:vertAlign w:val="baseline"/>
        </w:rPr>
        <w:t xml:space="preserve">[27]</w:t>
      </w:r>
      <w:r>
        <w:rPr>
          <w:vertAlign w:val="baseline"/>
        </w:rPr>
        <w:t xml:space="preserve">      </w:t>
      </w:r>
      <w:r>
        <w:rPr>
          <w:vertAlign w:val="baseline"/>
        </w:rPr>
        <w:t xml:space="preserve">Azaz,</w:t>
      </w:r>
      <w:r>
        <w:rPr>
          <w:vertAlign w:val="baseline"/>
        </w:rPr>
        <w:t xml:space="preserve"> a kábítószer valójában már a továbbértékesítési célú megszerzésével is kereskedelmi forgalmi jut, ezért e magatartás a kábítószer-kereskedelem keretei között nyer értékelést {</w:t>
      </w:r>
      <w:r>
        <w:rPr>
          <w:vertAlign w:val="baseline"/>
        </w:rPr>
        <w:t xml:space="preserve">Bfv.II.691/2021/18</w:t>
      </w:r>
      <w:r>
        <w:rPr>
          <w:vertAlign w:val="baseline"/>
        </w:rPr>
        <w:t xml:space="preserve"> [69] bekezdés}.</w:t>
      </w:r>
    </w:p>
    <w:p>
      <w:pPr>
        <w:jc w:val="both"/>
      </w:pPr>
      <w:r>
        <w:rPr>
          <w:vertAlign w:val="baseline"/>
        </w:rPr>
        <w:t xml:space="preserve">[28]</w:t>
      </w:r>
      <w:r>
        <w:rPr>
          <w:vertAlign w:val="baseline"/>
        </w:rPr>
        <w:t xml:space="preserve">      </w:t>
      </w:r>
      <w:r>
        <w:rPr>
          <w:vertAlign w:val="baseline"/>
        </w:rPr>
        <w:t xml:space="preserve">Ez</w:t>
      </w:r>
      <w:r>
        <w:rPr>
          <w:vertAlign w:val="baseline"/>
        </w:rPr>
        <w:t xml:space="preserve"> azt jelenti, hogy önmagában a kábítószer birtoklása is a kábítószer-kereskedelem bűntettét valósítja meg, ha a birtoklás a Btk. 176. § (1) bekezdésében írt elkövetési magatartások bármelyikének (kínálás, átadás, forgalomba hozatal vagy kereskedés) a célját szolgálja. </w:t>
      </w:r>
      <w:r>
        <w:rPr>
          <w:vertAlign w:val="baseline"/>
        </w:rPr>
        <w:t xml:space="preserve">Elvi éllel rögzíthető tehát, hogy a kábítószernek a Btk. 176. § (1) bekezdésében írt céllal való, a Btk. 178. § (1) bekezdése szerinti birtoklása kábítószer-kereskedelem. Ellenkező esetben nem lenne különbség a magáncélú és a kereskedési célú kábítószer-birtoklás megítélése között (</w:t>
      </w:r>
      <w:r>
        <w:rPr>
          <w:vertAlign w:val="baseline"/>
        </w:rPr>
        <w:t xml:space="preserve">Bfv.II.969/2019/7</w:t>
      </w:r>
      <w:r>
        <w:rPr>
          <w:vertAlign w:val="baseline"/>
        </w:rPr>
        <w:t xml:space="preserve">.).</w:t>
      </w:r>
    </w:p>
    <w:p>
      <w:pPr>
        <w:jc w:val="both"/>
      </w:pPr>
      <w:r>
        <w:rPr>
          <w:vertAlign w:val="baseline"/>
        </w:rPr>
        <w:t xml:space="preserve">[29]</w:t>
      </w:r>
      <w:r>
        <w:rPr>
          <w:vertAlign w:val="baseline"/>
        </w:rPr>
        <w:t xml:space="preserve">      </w:t>
      </w:r>
      <w:r>
        <w:rPr>
          <w:vertAlign w:val="baseline"/>
        </w:rPr>
        <w:t xml:space="preserve">Mindez</w:t>
      </w:r>
      <w:r>
        <w:rPr>
          <w:vertAlign w:val="baseline"/>
        </w:rPr>
        <w:t xml:space="preserve"> értelemszerűen irányadó az azonos elkövetési magatartással megvalósuló új pszichoaktív anyaggal visszaélés bűntette [Btk. 184. § (1) bekezdés] tekintetében is. </w:t>
      </w:r>
    </w:p>
    <w:p>
      <w:pPr>
        <w:jc w:val="both"/>
      </w:pPr>
      <w:r>
        <w:rPr>
          <w:vertAlign w:val="baseline"/>
        </w:rPr>
        <w:t xml:space="preserve">[30]</w:t>
      </w:r>
      <w:r>
        <w:rPr>
          <w:vertAlign w:val="baseline"/>
        </w:rPr>
        <w:t xml:space="preserve">      </w:t>
      </w:r>
      <w:r>
        <w:rPr>
          <w:vertAlign w:val="baseline"/>
        </w:rPr>
        <w:t xml:space="preserve">3. A felülvizsgálati eljárásban eredménnyel nem támadható irányadó tényállás pedig pontosan azt rója fel az I. rendű terheltnek, hogy a 2019. július végétől megrendezett fesztiválon történő továbbértékesítés végett terhelt-társaival együtt marihuánát, </w:t>
      </w:r>
      <w:r>
        <w:rPr>
          <w:vertAlign w:val="baseline"/>
        </w:rPr>
        <w:t xml:space="preserve">MDMA</w:t>
      </w:r>
      <w:r>
        <w:rPr>
          <w:vertAlign w:val="baseline"/>
        </w:rPr>
        <w:t xml:space="preserve">-t (kábítószert) és etil-heptedront (új pszichoaktív anyagot) szereztek be {elsőfokú ítélet [18] bekezdés}, és az általuk továbbértékesítés céljából beszerzett kábítószer hatóanyag-tartalma meghaladta a jelentős mennyiség alsó határát, míg az új pszichoaktív anyag hatóanyag-tartalma meghaladta a csekély mennyiség felső határát {elsőfokú ítélet [20]-[22] bekezdés}.</w:t>
      </w:r>
    </w:p>
    <w:p>
      <w:pPr>
        <w:jc w:val="both"/>
      </w:pPr>
      <w:r>
        <w:rPr>
          <w:vertAlign w:val="baseline"/>
        </w:rPr>
        <w:t xml:space="preserve">[31]</w:t>
      </w:r>
      <w:r>
        <w:rPr>
          <w:vertAlign w:val="baseline"/>
        </w:rPr>
        <w:t xml:space="preserve">      </w:t>
      </w:r>
      <w:r>
        <w:rPr>
          <w:vertAlign w:val="baseline"/>
        </w:rPr>
        <w:t xml:space="preserve">Következésképpen,</w:t>
      </w:r>
      <w:r>
        <w:rPr>
          <w:vertAlign w:val="baseline"/>
        </w:rPr>
        <w:t xml:space="preserve"> az I. rendű terhelt pusztán e magatartásával – a jelentős mennyiségű kábítószer, valamint az új pszichoaktív anyag eladási célú megszerzésével, az elsőfokú ítélet [19] bekezdésében leírt további magatartásától is függetlenül – kimerítette a kereskedéssel elkövetett kábítószer-kereskedelem bűntettének és a kereskedéssel elkövetett új pszichoaktív anyaggal visszaélés bűntettének a törvényi tényállási elemeit.</w:t>
      </w:r>
    </w:p>
    <w:p>
      <w:pPr>
        <w:jc w:val="both"/>
      </w:pPr>
      <w:r>
        <w:rPr>
          <w:vertAlign w:val="baseline"/>
        </w:rPr>
        <w:t xml:space="preserve">[32]</w:t>
      </w:r>
      <w:r>
        <w:rPr>
          <w:vertAlign w:val="baseline"/>
        </w:rPr>
        <w:t xml:space="preserve">      </w:t>
      </w:r>
      <w:r>
        <w:rPr>
          <w:vertAlign w:val="baseline"/>
        </w:rPr>
        <w:t xml:space="preserve">A [19] bekezdésben leírt további tények pedig csak tovább erősítik a kereskedői magatartásra vont következtetés szükségességét, rögzítve, hogy a terheltek – az I. rendű terhelt aktív közreműködésével – a beszerzett kábítószer és új pszichoaktív anyag vásárlóinak (a fogyasztóknak) a felkutatását is megkezdték, az illegális anyagokkal kereskedői jellegű magatartásokat tanúsítottak – kínálták és egy esetben átadták azt </w:t>
      </w:r>
      <w:r>
        <w:rPr>
          <w:vertAlign w:val="baseline"/>
        </w:rPr>
        <w:t xml:space="preserve">–, </w:t>
      </w:r>
      <w:r>
        <w:rPr>
          <w:vertAlign w:val="baseline"/>
        </w:rPr>
        <w:t xml:space="preserve">amelynek további folytatásában csak a nyomozó hatóság közbelépése akadályozta meg őket.</w:t>
      </w:r>
    </w:p>
    <w:p>
      <w:pPr>
        <w:jc w:val="both"/>
      </w:pPr>
      <w:r>
        <w:rPr>
          <w:vertAlign w:val="baseline"/>
        </w:rPr>
        <w:t xml:space="preserve">[33]</w:t>
      </w:r>
      <w:r>
        <w:rPr>
          <w:vertAlign w:val="baseline"/>
        </w:rPr>
        <w:t xml:space="preserve">      </w:t>
      </w:r>
      <w:r>
        <w:rPr>
          <w:vertAlign w:val="baseline"/>
        </w:rPr>
        <w:t xml:space="preserve">Ezzel</w:t>
      </w:r>
      <w:r>
        <w:rPr>
          <w:vertAlign w:val="baseline"/>
        </w:rPr>
        <w:t xml:space="preserve"> a kábítószer-kereskedelem bűntettének befejezett alakzata maradéktalanul megvalósult. </w:t>
      </w:r>
    </w:p>
    <w:p>
      <w:pPr>
        <w:jc w:val="both"/>
      </w:pPr>
      <w:r>
        <w:rPr>
          <w:vertAlign w:val="baseline"/>
        </w:rPr>
        <w:t xml:space="preserve">[34]</w:t>
      </w:r>
      <w:r>
        <w:rPr>
          <w:vertAlign w:val="baseline"/>
        </w:rPr>
        <w:t xml:space="preserve">      </w:t>
      </w:r>
      <w:r>
        <w:rPr>
          <w:vertAlign w:val="baseline"/>
        </w:rPr>
        <w:t xml:space="preserve">4.1. A </w:t>
      </w:r>
      <w:r>
        <w:rPr>
          <w:vertAlign w:val="baseline"/>
        </w:rPr>
        <w:t xml:space="preserve">Legfőbb Ügyészség</w:t>
      </w:r>
      <w:r>
        <w:rPr>
          <w:vertAlign w:val="baseline"/>
        </w:rPr>
        <w:t xml:space="preserve"> átirata szerint ugyanakkor az alapügyben eljárt bíróságok törvénysértően minősítették az I. rendű terhelt új pszichoaktív anyaggal visszaélés bűntettét megvalósító magatartását bűnszövetségben elkövetettként, figyelemmel arra, hogy a bűncselekmények elkövetésére irányuló megállapodásuk rövid időre, mindössze a fesztivál hozzávetőlegesen egy hetes tartamára volt limitált.</w:t>
      </w:r>
    </w:p>
    <w:p>
      <w:pPr>
        <w:jc w:val="both"/>
      </w:pPr>
      <w:r>
        <w:rPr>
          <w:vertAlign w:val="baseline"/>
        </w:rPr>
        <w:t xml:space="preserve">[35]</w:t>
      </w:r>
      <w:r>
        <w:rPr>
          <w:vertAlign w:val="baseline"/>
        </w:rPr>
        <w:t xml:space="preserve">      </w:t>
      </w:r>
      <w:r>
        <w:rPr>
          <w:vertAlign w:val="baseline"/>
        </w:rPr>
        <w:t xml:space="preserve">Bűnszövetség</w:t>
      </w:r>
      <w:r>
        <w:rPr>
          <w:vertAlign w:val="baseline"/>
        </w:rPr>
        <w:t xml:space="preserve"> akkor létesül, ha két vagy több személy bűncselekményeket szervezetten követ el, vagy ebben megállapodik, és legalább egy bűncselekmény elkövetését megkísérlik, de nem jön létre bűnszervezet [Btk. 459. § (1) bekezdés 2. pont].</w:t>
      </w:r>
    </w:p>
    <w:p>
      <w:pPr>
        <w:jc w:val="both"/>
      </w:pPr>
      <w:r>
        <w:rPr>
          <w:vertAlign w:val="baseline"/>
        </w:rPr>
        <w:t xml:space="preserve">[36]</w:t>
      </w:r>
      <w:r>
        <w:rPr>
          <w:vertAlign w:val="baseline"/>
        </w:rPr>
        <w:t xml:space="preserve">      </w:t>
      </w:r>
      <w:r>
        <w:rPr>
          <w:vertAlign w:val="baseline"/>
        </w:rPr>
        <w:t xml:space="preserve">Mivel</w:t>
      </w:r>
      <w:r>
        <w:rPr>
          <w:vertAlign w:val="baseline"/>
        </w:rPr>
        <w:t xml:space="preserve"> a bíróságok szervezetéről és igazgatásáról szóló 2011. évi </w:t>
      </w:r>
      <w:r>
        <w:rPr>
          <w:vertAlign w:val="baseline"/>
        </w:rPr>
        <w:t xml:space="preserve">CLXI.</w:t>
      </w:r>
      <w:r>
        <w:rPr>
          <w:vertAlign w:val="baseline"/>
        </w:rPr>
        <w:t xml:space="preserve"> törvény (Bszi.) hatálybalépését megelőzően hozott irányelvek, elvi döntések és kollégiumi állásfoglalások az eltérő iránymutatást tartalmazó jogegységi határozat meghozataláig alkalmazhatók [Bszi. 195. § (2) bekezdés], ezért ilyen jogegységi határozat hiányában továbbra is irányadó a </w:t>
      </w:r>
      <w:r>
        <w:rPr>
          <w:vertAlign w:val="baseline"/>
        </w:rPr>
        <w:t xml:space="preserve">Legfelsőbb Bíróság IV.</w:t>
      </w:r>
      <w:r>
        <w:rPr>
          <w:vertAlign w:val="baseline"/>
        </w:rPr>
        <w:t xml:space="preserve"> számú </w:t>
      </w:r>
      <w:r>
        <w:rPr>
          <w:vertAlign w:val="baseline"/>
        </w:rPr>
        <w:t xml:space="preserve">Büntető Elvi Döntése</w:t>
      </w:r>
      <w:r>
        <w:rPr>
          <w:vertAlign w:val="baseline"/>
        </w:rPr>
        <w:t xml:space="preserve"> (IV. számú </w:t>
      </w:r>
      <w:r>
        <w:rPr>
          <w:vertAlign w:val="baseline"/>
        </w:rPr>
        <w:t xml:space="preserve">BED</w:t>
      </w:r>
      <w:r>
        <w:rPr>
          <w:vertAlign w:val="baseline"/>
        </w:rPr>
        <w:t xml:space="preserve">) a bűnszövetségről.</w:t>
      </w:r>
    </w:p>
    <w:p>
      <w:pPr>
        <w:jc w:val="both"/>
      </w:pPr>
      <w:r>
        <w:rPr>
          <w:vertAlign w:val="baseline"/>
        </w:rPr>
        <w:t xml:space="preserve">[37]</w:t>
      </w:r>
      <w:r>
        <w:rPr>
          <w:vertAlign w:val="baseline"/>
        </w:rPr>
        <w:t xml:space="preserve">      </w:t>
      </w:r>
      <w:r>
        <w:rPr>
          <w:vertAlign w:val="baseline"/>
        </w:rPr>
        <w:t xml:space="preserve">A „bűncselekmények” törvényi szóhasználatán több, szándékosan elkövetett cselekményt kell érteni. Ehhez képest a bűnszövetség megállapítása nem kizárt az olyan esetben sem, amikor az elkövetők két vagy több cselekmény megvalósítását határozzák el, és kezdik meg vagy fejezik be, de a cselekményeik törvényi egységet alkotnak (IV. számú </w:t>
      </w:r>
      <w:r>
        <w:rPr>
          <w:vertAlign w:val="baseline"/>
        </w:rPr>
        <w:t xml:space="preserve">BED</w:t>
      </w:r>
      <w:r>
        <w:rPr>
          <w:vertAlign w:val="baseline"/>
        </w:rPr>
        <w:t xml:space="preserve"> 2. pont). Megállapítható a bűnszövetség akkor is, ha a bűnözésre irányuló megállapodás alapján elkövetett bűntettek közül csupán egy olyan bűncselekmény van, amelynél a bűnszövetséget a törvény mint minősítő körülményt szabályozza (IV. számú </w:t>
      </w:r>
      <w:r>
        <w:rPr>
          <w:vertAlign w:val="baseline"/>
        </w:rPr>
        <w:t xml:space="preserve">BED</w:t>
      </w:r>
      <w:r>
        <w:rPr>
          <w:vertAlign w:val="baseline"/>
        </w:rPr>
        <w:t xml:space="preserve"> 6. pont).</w:t>
      </w:r>
    </w:p>
    <w:p>
      <w:pPr>
        <w:jc w:val="both"/>
      </w:pPr>
      <w:r>
        <w:rPr>
          <w:vertAlign w:val="baseline"/>
        </w:rPr>
        <w:t xml:space="preserve">[38]</w:t>
      </w:r>
      <w:r>
        <w:rPr>
          <w:vertAlign w:val="baseline"/>
        </w:rPr>
        <w:t xml:space="preserve">      </w:t>
      </w:r>
      <w:r>
        <w:rPr>
          <w:vertAlign w:val="baseline"/>
        </w:rPr>
        <w:t xml:space="preserve">Amikor</w:t>
      </w:r>
      <w:r>
        <w:rPr>
          <w:vertAlign w:val="baseline"/>
        </w:rPr>
        <w:t xml:space="preserve"> pedig az I. rendű terhelt részvételével megkötött, és tényállásban is szerepeltetett előzetes megállapodás a külön-külön is törvényi egységbe olvadó (több részcselekményből összetevődő) kábítószer-kereskedelem bűntettének és új pszichoaktív anyaggal visszaélés bűntettének elkövetésére irányult, és az I. rendű terhelt is részt vett mindkét bűncselekmény befejezett alakzatának a megvalósításában, a bűnszövetségben való elkövetés imént elemzett feltétele is teljesült.</w:t>
      </w:r>
    </w:p>
    <w:p>
      <w:pPr>
        <w:jc w:val="both"/>
      </w:pPr>
      <w:r>
        <w:rPr>
          <w:vertAlign w:val="baseline"/>
        </w:rPr>
        <w:t xml:space="preserve">[39]</w:t>
      </w:r>
      <w:r>
        <w:rPr>
          <w:vertAlign w:val="baseline"/>
        </w:rPr>
        <w:t xml:space="preserve">      </w:t>
      </w:r>
      <w:r>
        <w:rPr>
          <w:vertAlign w:val="baseline"/>
        </w:rPr>
        <w:t xml:space="preserve">Az előzetes megállapodás részeseinek számára is tekintettel, így a bűnszövetség megállapítása kizárólag azon áll, hogy a bűncselekmények törvény által megkívánt szervezett elkövetése magában foglalja-e az előzetes megállapodás hosszabb távra szóló, időben nem limitált jellegének követelményét.</w:t>
      </w:r>
    </w:p>
    <w:p>
      <w:pPr>
        <w:jc w:val="both"/>
      </w:pPr>
      <w:r>
        <w:rPr>
          <w:vertAlign w:val="baseline"/>
        </w:rPr>
        <w:t xml:space="preserve">[40]</w:t>
      </w:r>
      <w:r>
        <w:rPr>
          <w:vertAlign w:val="baseline"/>
        </w:rPr>
        <w:t xml:space="preserve">      </w:t>
      </w:r>
      <w:r>
        <w:rPr>
          <w:vertAlign w:val="baseline"/>
        </w:rPr>
        <w:t xml:space="preserve">E körben a </w:t>
      </w:r>
      <w:r>
        <w:rPr>
          <w:vertAlign w:val="baseline"/>
        </w:rPr>
        <w:t xml:space="preserve">IV.</w:t>
      </w:r>
      <w:r>
        <w:rPr>
          <w:vertAlign w:val="baseline"/>
        </w:rPr>
        <w:t xml:space="preserve"> számú </w:t>
      </w:r>
      <w:r>
        <w:rPr>
          <w:vertAlign w:val="baseline"/>
        </w:rPr>
        <w:t xml:space="preserve">BED</w:t>
      </w:r>
      <w:r>
        <w:rPr>
          <w:vertAlign w:val="baseline"/>
        </w:rPr>
        <w:t xml:space="preserve"> csupán annyi támpontot ad az értelmezéshez, hogy a bűnszövetség tagjainak a megállapodása több bűncselekmény megvalósítását célozza anélkül, hogy minden egyes bűncselekmény végrehajtásának a részleteit is megszerveznék. A törvény ugyanis azt a súlyosabb minősítést megalapozó magasabb fokú társadalomra veszélyességet értékeli, hogy az elkövetők nem csupán egy meghatározott bűncselekmény elkövetését valósították vagy kísérelték meg, hanem magát a bűnözést szervezik meg [IV. számú </w:t>
      </w:r>
      <w:r>
        <w:rPr>
          <w:vertAlign w:val="baseline"/>
        </w:rPr>
        <w:t xml:space="preserve">BED</w:t>
      </w:r>
      <w:r>
        <w:rPr>
          <w:vertAlign w:val="baseline"/>
        </w:rPr>
        <w:t xml:space="preserve"> 1. a) pont]. Az előzetes – mint a szervezett elkövetés egyik eleme – olyan, a jövőben megvalósítandó bűncselekmények elkövetésére irányuló elhatározást jelent, amely a jogvédte érdekek ellen támadó erők viszonylag magasabb fokú szervezettségét, pl. az elkövetés következetességét, a végrehajtás egyes jelentősebb körülményeiben, módozataiban megnyilvánuló tervszerűséget is felölelheti [IV. számú </w:t>
      </w:r>
      <w:r>
        <w:rPr>
          <w:vertAlign w:val="baseline"/>
        </w:rPr>
        <w:t xml:space="preserve">BED</w:t>
      </w:r>
      <w:r>
        <w:rPr>
          <w:vertAlign w:val="baseline"/>
        </w:rPr>
        <w:t xml:space="preserve"> 3. b) pont].</w:t>
      </w:r>
    </w:p>
    <w:p>
      <w:pPr>
        <w:jc w:val="both"/>
      </w:pPr>
      <w:r>
        <w:rPr>
          <w:vertAlign w:val="baseline"/>
        </w:rPr>
        <w:t xml:space="preserve">[41]</w:t>
      </w:r>
      <w:r>
        <w:rPr>
          <w:vertAlign w:val="baseline"/>
        </w:rPr>
        <w:t xml:space="preserve">      </w:t>
      </w:r>
      <w:r>
        <w:rPr>
          <w:vertAlign w:val="baseline"/>
        </w:rPr>
        <w:t xml:space="preserve">4.2. A mai napig iránymutatásként szolgáló </w:t>
      </w:r>
      <w:r>
        <w:rPr>
          <w:vertAlign w:val="baseline"/>
        </w:rPr>
        <w:t xml:space="preserve">IV.</w:t>
      </w:r>
      <w:r>
        <w:rPr>
          <w:vertAlign w:val="baseline"/>
        </w:rPr>
        <w:t xml:space="preserve"> számú </w:t>
      </w:r>
      <w:r>
        <w:rPr>
          <w:vertAlign w:val="baseline"/>
        </w:rPr>
        <w:t xml:space="preserve">BED</w:t>
      </w:r>
      <w:r>
        <w:rPr>
          <w:vertAlign w:val="baseline"/>
        </w:rPr>
        <w:t xml:space="preserve"> tehát nem kezeli a szervezett elkövetésre irányuló megállapodás fogalmi elemeként a tervbe vett bűncselekmények hosszabb időtávot felölelő jellegét. Ez magából a törvényből is következik: amíg ugyanis a bűnszervezet és a bűnszövetség törvényi definíciója egyaránt az elkövetők „szervezett” csoportját, illetve magatartását kívánja meg, addig a bűnszervezet meghatározása kifejezetten kiemeli, hogy az elkövetői csoport „hosszabb időre” szervezett. Ellenben a bűnszövetség törvényi fogalma időbeli követelményt egyáltalán nem, pusztán a bűncselekmények (azaz legalább kettő bűncselekmény) szervezett elkövetésére vonatkozó megállapodást, és legalább egy bűncselekmény elkövetésének a megkísérlését határozza meg. Következésképpen, a szervezettség fogalmának a hosszabb időtávra való kiterjedés nem fogalmi eleme, és az elkövetői kör, illetve annak magatartása anélkül is lehet szervezett, hogy az általuk elkövetett, valamint elhatározott bűncselekmények véghezvitele hosszabb, előzetesen meg nem ítélhető időtartamot ívelne át. </w:t>
      </w:r>
    </w:p>
    <w:p>
      <w:pPr>
        <w:jc w:val="both"/>
      </w:pPr>
      <w:r>
        <w:rPr>
          <w:vertAlign w:val="baseline"/>
        </w:rPr>
        <w:t xml:space="preserve">[42]</w:t>
      </w:r>
      <w:r>
        <w:rPr>
          <w:vertAlign w:val="baseline"/>
        </w:rPr>
        <w:t xml:space="preserve">      </w:t>
      </w:r>
      <w:r>
        <w:rPr>
          <w:vertAlign w:val="baseline"/>
        </w:rPr>
        <w:t xml:space="preserve">Az elkövetői csoport hosszú távra szóló szerveződése tehát nem a bűnszövetség, hanem a bűnszervezet megállapításának kritériuma.</w:t>
      </w:r>
    </w:p>
    <w:p>
      <w:pPr>
        <w:jc w:val="both"/>
      </w:pPr>
      <w:r>
        <w:rPr>
          <w:vertAlign w:val="baseline"/>
        </w:rPr>
        <w:t xml:space="preserve">[43]</w:t>
      </w:r>
      <w:r>
        <w:rPr>
          <w:vertAlign w:val="baseline"/>
        </w:rPr>
        <w:t xml:space="preserve">      </w:t>
      </w:r>
      <w:r>
        <w:rPr>
          <w:vertAlign w:val="baseline"/>
        </w:rPr>
        <w:t xml:space="preserve">Az adott esetben pedig az I. rendű terhelt részvételével működő elkövetői kör megállapodása nem kétségesen bűncselekmények szervezett elkövetésére irányult, amikor a közösen beszerzett és részben kiporciózott, jelentős mennyiségű kábítószer és új pszichoaktív anyag közös értékesítését határozták el, amely értékesítési tevékenység olyannyira koordinált volt, hogy az elsőfokú ítélet [18] bekezdésében írtak szerint az okiratok alapján a terheltekhez látszólag nem köthető gépkocsi igénybevételére, illetve a [19] bekezdésében írtak szerint a feladatok megosztására és a cselekmény leplezésére is kiterjedt.</w:t>
      </w:r>
    </w:p>
    <w:p>
      <w:pPr>
        <w:jc w:val="both"/>
      </w:pPr>
      <w:r>
        <w:rPr>
          <w:vertAlign w:val="baseline"/>
        </w:rPr>
        <w:t xml:space="preserve">[44]</w:t>
      </w:r>
      <w:r>
        <w:rPr>
          <w:vertAlign w:val="baseline"/>
        </w:rPr>
        <w:t xml:space="preserve">      </w:t>
      </w:r>
      <w:r>
        <w:rPr>
          <w:vertAlign w:val="baseline"/>
        </w:rPr>
        <w:t xml:space="preserve">Ugyanilyen</w:t>
      </w:r>
      <w:r>
        <w:rPr>
          <w:vertAlign w:val="baseline"/>
        </w:rPr>
        <w:t xml:space="preserve"> lényeges, hogy a terheltek által a fogyasztók részére való eladás végett beszerzett kábítószer, valamint új pszichoaktív anyag tervbe vett értékesítése annak mennyiségéből szükségképpen fakadóan akár többszázas nagyságrendű részcselekmény elkövetését igényli (egyedül az új pszichoaktív anyag 185 simítózáras műanyag tasakba – 185 adagra – volt porciózva, </w:t>
      </w:r>
      <w:r>
        <w:rPr>
          <w:vertAlign w:val="baseline"/>
        </w:rPr>
        <w:t xml:space="preserve">MDMA</w:t>
      </w:r>
      <w:r>
        <w:rPr>
          <w:vertAlign w:val="baseline"/>
        </w:rPr>
        <w:t xml:space="preserve"> hatóanyagot tartalmazó ecstasy tablettából pedig 448 darab várt eladásra). Másként szólva, ha a fesztivál időtartama limitált is volt, de a fogyasztókkal lebonyolítani kívánt adásvételek – az egyes részcselekmények – száma egyáltalán nem, annak csak az előzetesen beszerzett kábítószerek mennyisége szabott (igen tág) határt.</w:t>
      </w:r>
    </w:p>
    <w:p>
      <w:pPr>
        <w:jc w:val="both"/>
      </w:pPr>
      <w:r>
        <w:rPr>
          <w:vertAlign w:val="baseline"/>
        </w:rPr>
        <w:t xml:space="preserve">[45]</w:t>
      </w:r>
      <w:r>
        <w:rPr>
          <w:vertAlign w:val="baseline"/>
        </w:rPr>
        <w:t xml:space="preserve">      </w:t>
      </w:r>
      <w:r>
        <w:rPr>
          <w:vertAlign w:val="baseline"/>
        </w:rPr>
        <w:t xml:space="preserve">A három terhelt előzetes megállapodása szerinti, feladatmegosztáson alapuló, a cselekmény leplezésére is gondot fordító, akár többszázas nagyságrendű részcselekmény megvalósítását igénylő, több napot átívelő elkövetés ekként a szervezett elkövetés ismérveinek mindenben megfelel. A puszta társas elkövetéshez képest a terheltek szervezett magatartásának vázolt jellemzőiben pontosan felismerhető az a minőségi többlet, amely a cselekmény magasabb társadalomra veszélyességét adja [IV. számú </w:t>
      </w:r>
      <w:r>
        <w:rPr>
          <w:vertAlign w:val="baseline"/>
        </w:rPr>
        <w:t xml:space="preserve">BED</w:t>
      </w:r>
      <w:r>
        <w:rPr>
          <w:vertAlign w:val="baseline"/>
        </w:rPr>
        <w:t xml:space="preserve"> 5. b) pont], és amely a bűncselekmény súlyosabb, bűnszövetségben elkövetettként történő minősítésében jelenik meg.</w:t>
      </w:r>
    </w:p>
    <w:p>
      <w:pPr>
        <w:jc w:val="both"/>
      </w:pPr>
      <w:r>
        <w:rPr>
          <w:vertAlign w:val="baseline"/>
        </w:rPr>
        <w:t xml:space="preserve">[46]</w:t>
      </w:r>
      <w:r>
        <w:rPr>
          <w:vertAlign w:val="baseline"/>
        </w:rPr>
        <w:t xml:space="preserve">      </w:t>
      </w:r>
      <w:r>
        <w:rPr>
          <w:vertAlign w:val="baseline"/>
        </w:rPr>
        <w:t xml:space="preserve">4.3. Ilyen körülmények között a </w:t>
      </w:r>
      <w:r>
        <w:rPr>
          <w:vertAlign w:val="baseline"/>
        </w:rPr>
        <w:t xml:space="preserve">Kúria</w:t>
      </w:r>
      <w:r>
        <w:rPr>
          <w:vertAlign w:val="baseline"/>
        </w:rPr>
        <w:t xml:space="preserve"> csak a teljesség érdekében tér ki rá, hogy a </w:t>
      </w:r>
      <w:r>
        <w:rPr>
          <w:vertAlign w:val="baseline"/>
        </w:rPr>
        <w:t xml:space="preserve">Legfőbb Ügyészség</w:t>
      </w:r>
      <w:r>
        <w:rPr>
          <w:vertAlign w:val="baseline"/>
        </w:rPr>
        <w:t xml:space="preserve"> átiratában felhívott és a </w:t>
      </w:r>
      <w:r>
        <w:rPr>
          <w:vertAlign w:val="baseline"/>
        </w:rPr>
        <w:t xml:space="preserve">Kúria Bírósági Határozatok Gyűjteményében</w:t>
      </w:r>
      <w:r>
        <w:rPr>
          <w:vertAlign w:val="baseline"/>
        </w:rPr>
        <w:t xml:space="preserve"> is közzétett határozatai eltérő tényállások elbírálása kapcsán tulajdonítottak jelentőséget a bűnszövetségben elkövetés megállapítása tárgyában történő állásfoglalás során az elkövetés időben nem limitált jellegének.</w:t>
      </w:r>
    </w:p>
    <w:p>
      <w:pPr>
        <w:jc w:val="both"/>
      </w:pPr>
      <w:r>
        <w:rPr>
          <w:vertAlign w:val="baseline"/>
        </w:rPr>
        <w:t xml:space="preserve">[47]</w:t>
      </w:r>
      <w:r>
        <w:rPr>
          <w:vertAlign w:val="baseline"/>
        </w:rPr>
        <w:t xml:space="preserve">      </w:t>
      </w:r>
      <w:r>
        <w:rPr>
          <w:vertAlign w:val="baseline"/>
        </w:rPr>
        <w:t xml:space="preserve">A Kúria </w:t>
      </w:r>
      <w:r>
        <w:rPr>
          <w:vertAlign w:val="baseline"/>
        </w:rPr>
        <w:t xml:space="preserve">Bfv.II.763/2021/9</w:t>
      </w:r>
      <w:r>
        <w:rPr>
          <w:vertAlign w:val="baseline"/>
        </w:rPr>
        <w:t xml:space="preserve">. számú határozata indokolásának [45] bekezdésében a </w:t>
      </w:r>
      <w:r>
        <w:rPr>
          <w:vertAlign w:val="baseline"/>
        </w:rPr>
        <w:t xml:space="preserve">Legfőbb Ügyészség</w:t>
      </w:r>
      <w:r>
        <w:rPr>
          <w:vertAlign w:val="baseline"/>
        </w:rPr>
        <w:t xml:space="preserve"> által idézetteken túl arra is kitért, hogy az alapul fekvő ügy terheltjei rövid időközzel mindösszesen két ízben szereztek be közösen kábítószert, megegyezésük azonban a közösen beszerzett kábítószer közös értékesítésére már nem terjedt ki. Pontosan amiatt volt jelentősége megállapodásuk időben nem limitált mivoltának, mert elfogásukig csupán két részcselekmény megvalósítására került sor, ami önmagában – hosszabb távra szóló megegyezés, és ezért szükségképpen rendszeresen megismételni tervezett részcselekmények hiányában – még elégtelen lett volna a szervezett elkövetés felrovásához. A hosszabb időre szervezettség nem eredményez minden esetben bűnszervezetet, annak további feltételeinek hiányában hosszabb időre szervezett bűnelkövetői csoport is lehet bűnszövetség. Így ebben az esetben a hosszabb időre szervezettség támasztotta alá azt, hogy a megállapodás nem csupán két alkalmi adásvételre, hanem szervezett bűnelkövetésre terjedt ki. </w:t>
      </w:r>
    </w:p>
    <w:p>
      <w:pPr>
        <w:jc w:val="both"/>
      </w:pPr>
      <w:r>
        <w:rPr>
          <w:vertAlign w:val="baseline"/>
        </w:rPr>
        <w:t xml:space="preserve">[48]</w:t>
      </w:r>
      <w:r>
        <w:rPr>
          <w:vertAlign w:val="baseline"/>
        </w:rPr>
        <w:t xml:space="preserve">      </w:t>
      </w:r>
      <w:r>
        <w:rPr>
          <w:vertAlign w:val="baseline"/>
        </w:rPr>
        <w:t xml:space="preserve">Hasonlóképpen,</w:t>
      </w:r>
      <w:r>
        <w:rPr>
          <w:vertAlign w:val="baseline"/>
        </w:rPr>
        <w:t xml:space="preserve"> a </w:t>
      </w:r>
      <w:r>
        <w:rPr>
          <w:vertAlign w:val="baseline"/>
        </w:rPr>
        <w:t xml:space="preserve">Bfv.III.1.479/2016/10</w:t>
      </w:r>
      <w:r>
        <w:rPr>
          <w:vertAlign w:val="baseline"/>
        </w:rPr>
        <w:t xml:space="preserve">. szám alatt meghozott, és a </w:t>
      </w:r>
      <w:r>
        <w:rPr>
          <w:vertAlign w:val="baseline"/>
        </w:rPr>
        <w:t xml:space="preserve">BH</w:t>
      </w:r>
      <w:r>
        <w:rPr>
          <w:vertAlign w:val="baseline"/>
        </w:rPr>
        <w:t xml:space="preserve"> </w:t>
      </w:r>
      <w:r>
        <w:rPr>
          <w:vertAlign w:val="baseline"/>
        </w:rPr>
        <w:t xml:space="preserve">2017.178.</w:t>
      </w:r>
      <w:r>
        <w:rPr>
          <w:vertAlign w:val="baseline"/>
        </w:rPr>
        <w:t xml:space="preserve"> számú eseti döntés alapjául szolgáló tényállás is az ismétlődő adásvételek hosszabb tartama, és ennek hozadékaként nagyobb száma okán szolgált következtetési alapul, hogy a terheltek együttműködése nem alkalomszerű, hanem szervezett. A határozat [52] bekezdése maga is hangsúlyozza, hogy a rendszeres adásvételek sorozata a megkülönböztető jegy, ami az adott cselekmény szervezett jellegét tükrözi. Ha viszont maga a szervezettség adott (a tényállásból kitűnik), akkor annak távlatai a bűnszövetség szempontjából közömbösek.</w:t>
      </w:r>
    </w:p>
    <w:p>
      <w:pPr>
        <w:jc w:val="both"/>
      </w:pPr>
      <w:r>
        <w:rPr>
          <w:vertAlign w:val="baseline"/>
        </w:rPr>
        <w:t xml:space="preserve">[49]</w:t>
      </w:r>
      <w:r>
        <w:rPr>
          <w:vertAlign w:val="baseline"/>
        </w:rPr>
        <w:t xml:space="preserve">      </w:t>
      </w:r>
      <w:r>
        <w:rPr>
          <w:vertAlign w:val="baseline"/>
        </w:rPr>
        <w:t xml:space="preserve">A támadott ítélettel elbírált ügyben azonban nem arról volt szó, hogy a terheltek elszigetelt cselekményei miatt a – szükségképpen hosszabb időtávot igénylő – rendszeres ismétlődés, illetve a cselekmények megismétlésére irányuló közös elhatározás adott volna alapot a bűnszövetség mint a bűnözés előzetes megszervezésének megállapítására. Ehhez képest a terheltek megállapodása – noha egy eseményre, ezért valóban limitált időtartamra terjedt ki, de – a fentebb írtak szerint eleve fel nem mérhető számú részcselekmény részleteiben is kimódolt, a szerepek megosztásán alapuló, a leplezés szándékát is tükröző, azaz: a szervezettség jegyeit mindenben magán hordozó elkövetésére irányult. </w:t>
      </w:r>
      <w:r>
        <w:rPr>
          <w:vertAlign w:val="baseline"/>
        </w:rPr>
        <w:t xml:space="preserve"> </w:t>
      </w:r>
      <w:r>
        <w:rPr>
          <w:vertAlign w:val="baseline"/>
        </w:rPr>
        <w:t xml:space="preserve"> </w:t>
      </w:r>
    </w:p>
    <w:p>
      <w:pPr>
        <w:jc w:val="both"/>
      </w:pPr>
      <w:r>
        <w:rPr>
          <w:vertAlign w:val="baseline"/>
        </w:rPr>
        <w:t xml:space="preserve">[50]</w:t>
      </w:r>
      <w:r>
        <w:rPr>
          <w:vertAlign w:val="baseline"/>
        </w:rPr>
        <w:t xml:space="preserve">      </w:t>
      </w:r>
      <w:r>
        <w:rPr>
          <w:vertAlign w:val="baseline"/>
        </w:rPr>
        <w:t xml:space="preserve">4.4. Az alapügyben hozott jogerős ügydöntő határozat tehát törvényesen minősítette az I. rendű terhelt irányadó tényállásban írt magatartását a Btk. 176. § (1) bekezdés </w:t>
      </w:r>
      <w:r>
        <w:rPr>
          <w:vertAlign w:val="baseline"/>
        </w:rPr>
        <w:t xml:space="preserve">IV.</w:t>
      </w:r>
      <w:r>
        <w:rPr>
          <w:vertAlign w:val="baseline"/>
        </w:rPr>
        <w:t xml:space="preserve"> fordulatába ütköző, és a (3) bekezdés szerint minősülő, társtettesként elkövetett kábítószer-kereskedelem bűntetteként és a Btk. 184. § (1) bekezdés </w:t>
      </w:r>
      <w:r>
        <w:rPr>
          <w:vertAlign w:val="baseline"/>
        </w:rPr>
        <w:t xml:space="preserve">IV.</w:t>
      </w:r>
      <w:r>
        <w:rPr>
          <w:vertAlign w:val="baseline"/>
        </w:rPr>
        <w:t xml:space="preserve"> fordulatába ütköző, és a (2) bekezdés a) pontja szerint minősülő, társtettesként elkövetett új pszichoaktív anyaggal visszaélés bűntetteként.</w:t>
      </w:r>
    </w:p>
    <w:p>
      <w:pPr>
        <w:jc w:val="both"/>
      </w:pPr>
      <w:r>
        <w:rPr>
          <w:vertAlign w:val="baseline"/>
        </w:rPr>
        <w:t xml:space="preserve">[51]</w:t>
      </w:r>
      <w:r>
        <w:rPr>
          <w:vertAlign w:val="baseline"/>
        </w:rPr>
        <w:t xml:space="preserve">      </w:t>
      </w:r>
      <w:r>
        <w:rPr>
          <w:vertAlign w:val="baseline"/>
        </w:rPr>
        <w:t xml:space="preserve">5. Az I. rendű terhelt felülbírálat tárgyát képező cselekményeinek maradéktalanul helyes minősítésére tekintettel pedig a kiszabott büntetés csak akkor vizsgálható, ha a büntetőjog más szabályának megsértése miatt törvénysértő büntetést szabtak ki, így a büntetést a bűncselekmény minősítéséhez kapcsolódó büntetési tételkeret figyelmen kívül hagyásával, avagy az irányadó büntetési tételkereten belül ugyan, de a Btk. valamely mérlegelést nem tűrő rendelkezésének megsértésével szabták ki [</w:t>
      </w:r>
      <w:r>
        <w:rPr>
          <w:vertAlign w:val="baseline"/>
        </w:rPr>
        <w:t xml:space="preserve">Bfv.I.415/2016/7</w:t>
      </w:r>
      <w:r>
        <w:rPr>
          <w:vertAlign w:val="baseline"/>
        </w:rPr>
        <w:t xml:space="preserve">. (BH </w:t>
      </w:r>
      <w:r>
        <w:rPr>
          <w:vertAlign w:val="baseline"/>
        </w:rPr>
        <w:t xml:space="preserve">2016.264.</w:t>
      </w:r>
      <w:r>
        <w:rPr>
          <w:vertAlign w:val="baseline"/>
        </w:rPr>
        <w:t xml:space="preserve">II.)]. A törvényes minősítés mellett a mérlegelési jogkörben, a törvényes keretek között kiszabott büntetés mértéke viszont a felülvizsgálati eljárásban nem támadható [</w:t>
      </w:r>
      <w:r>
        <w:rPr>
          <w:vertAlign w:val="baseline"/>
        </w:rPr>
        <w:t xml:space="preserve">Bfv.I.1.502/2016/6</w:t>
      </w:r>
      <w:r>
        <w:rPr>
          <w:vertAlign w:val="baseline"/>
        </w:rPr>
        <w:t xml:space="preserve">. (BH </w:t>
      </w:r>
      <w:r>
        <w:rPr>
          <w:vertAlign w:val="baseline"/>
        </w:rPr>
        <w:t xml:space="preserve">2017.219.</w:t>
      </w:r>
      <w:r>
        <w:rPr>
          <w:vertAlign w:val="baseline"/>
        </w:rPr>
        <w:t xml:space="preserve">II.)].</w:t>
      </w:r>
    </w:p>
    <w:p>
      <w:pPr>
        <w:jc w:val="both"/>
      </w:pPr>
      <w:r>
        <w:rPr>
          <w:vertAlign w:val="baseline"/>
        </w:rPr>
        <w:t xml:space="preserve">[52]</w:t>
      </w:r>
      <w:r>
        <w:rPr>
          <w:vertAlign w:val="baseline"/>
        </w:rPr>
        <w:t xml:space="preserve">      </w:t>
      </w:r>
      <w:r>
        <w:rPr>
          <w:vertAlign w:val="baseline"/>
        </w:rPr>
        <w:t xml:space="preserve">Jelen</w:t>
      </w:r>
      <w:r>
        <w:rPr>
          <w:vertAlign w:val="baseline"/>
        </w:rPr>
        <w:t xml:space="preserve"> esetben a jogerős ítélet 7 év szabadságvesztést szabott ki az I. rendű terhelttel szemben, amely a Btk. 176. § (3) bekezdése szerint minősülő kábítószer-kereskedelem bűntettére rendelt, öt évtől húsz évig terjedő vagy életfogytig tartó szabadságvesztésben, és így </w:t>
      </w:r>
      <w:r>
        <w:rPr>
          <w:vertAlign w:val="baseline"/>
        </w:rPr>
        <w:t xml:space="preserve">                                                  </w:t>
      </w:r>
      <w:r>
        <w:rPr>
          <w:vertAlign w:val="baseline"/>
        </w:rPr>
        <w:t xml:space="preserve">– értelemszerűen – a halmazati büntetéskiszabás szabályaira [Btk. 81. § </w:t>
      </w:r>
      <w:r>
        <w:rPr>
          <w:vertAlign w:val="baseline"/>
        </w:rPr>
        <w:t xml:space="preserve">(1)-(4)</w:t>
      </w:r>
      <w:r>
        <w:rPr>
          <w:vertAlign w:val="baseline"/>
        </w:rPr>
        <w:t xml:space="preserve"> bekezdés] figyelemmel, az adott esetben kiszabható öt évtől huszonöt évig terjedő határozott tartamú szabadságvesztésben meghatározott büntetési tétel keretei közé esik. A büntetés kiszabására vonatkozó szabályt rögzítő, mérlegelést nem tűrő büntető anyagi jogi szabály sérelme ezért nem vethető fel.</w:t>
      </w:r>
    </w:p>
    <w:p>
      <w:pPr>
        <w:jc w:val="both"/>
      </w:pPr>
      <w:r>
        <w:rPr>
          <w:vertAlign w:val="baseline"/>
        </w:rPr>
        <w:t xml:space="preserve">[53]</w:t>
      </w:r>
      <w:r>
        <w:rPr>
          <w:vertAlign w:val="baseline"/>
        </w:rPr>
        <w:t xml:space="preserve">      </w:t>
      </w:r>
      <w:r>
        <w:rPr>
          <w:vertAlign w:val="baseline"/>
        </w:rPr>
        <w:t xml:space="preserve">Ennek</w:t>
      </w:r>
      <w:r>
        <w:rPr>
          <w:vertAlign w:val="baseline"/>
        </w:rPr>
        <w:t xml:space="preserve"> folyományaként a cselekmény törvényes minősítése mellett, a Btk. más szabályának megsértése nélkül, a törvényes büntetési tételkeret határain belül kiszabott szabadságvesztés sem volt érinthető.</w:t>
      </w:r>
    </w:p>
    <w:p>
      <w:pPr>
        <w:jc w:val="both"/>
      </w:pPr>
      <w:r>
        <w:rPr>
          <w:vertAlign w:val="baseline"/>
        </w:rPr>
        <w:t xml:space="preserve">[54]</w:t>
      </w:r>
      <w:r>
        <w:rPr>
          <w:vertAlign w:val="baseline"/>
        </w:rPr>
        <w:t xml:space="preserve">      </w:t>
      </w:r>
      <w:r>
        <w:rPr>
          <w:vertAlign w:val="baseline"/>
        </w:rPr>
        <w:t xml:space="preserve">A kifejtett érvek mentén a </w:t>
      </w:r>
      <w:r>
        <w:rPr>
          <w:vertAlign w:val="baseline"/>
        </w:rPr>
        <w:t xml:space="preserve">Kúria</w:t>
      </w:r>
      <w:r>
        <w:rPr>
          <w:vertAlign w:val="baseline"/>
        </w:rPr>
        <w:t xml:space="preserve"> – mivel nem észlelt olyan eljárási szabálysértést, amelynek vizsgálatára a </w:t>
      </w:r>
      <w:r>
        <w:rPr>
          <w:vertAlign w:val="baseline"/>
        </w:rPr>
        <w:t xml:space="preserve">Be.</w:t>
      </w:r>
      <w:r>
        <w:rPr>
          <w:vertAlign w:val="baseline"/>
        </w:rPr>
        <w:t xml:space="preserve"> 659. § (6) bekezdése alapján hivatalból köteles – a felülvizsgálati indítványnak nem adott helyt, és megtámadott határozatot – a </w:t>
      </w:r>
      <w:r>
        <w:rPr>
          <w:vertAlign w:val="baseline"/>
        </w:rPr>
        <w:t xml:space="preserve">Be.</w:t>
      </w:r>
      <w:r>
        <w:rPr>
          <w:vertAlign w:val="baseline"/>
        </w:rPr>
        <w:t xml:space="preserve"> 660. § (1) bekezdésének főszabálya szerint tanácsülésen – a </w:t>
      </w:r>
      <w:r>
        <w:rPr>
          <w:vertAlign w:val="baseline"/>
        </w:rPr>
        <w:t xml:space="preserve">Be.</w:t>
      </w:r>
      <w:r>
        <w:rPr>
          <w:vertAlign w:val="baseline"/>
        </w:rPr>
        <w:t xml:space="preserve"> 662. § (1) bekezdése alapján az I. rendű terhelt tekintetében hatályában fenntartotta.</w:t>
      </w:r>
    </w:p>
    <w:p>
      <w:pPr>
        <w:jc w:val="both"/>
      </w:pPr>
      <w:r>
        <w:rPr>
          <w:vertAlign w:val="baseline"/>
        </w:rPr>
        <w:t xml:space="preserve">[55]</w:t>
      </w:r>
      <w:r>
        <w:rPr>
          <w:vertAlign w:val="baseline"/>
        </w:rPr>
        <w:t xml:space="preserve">      </w:t>
      </w:r>
      <w:r>
        <w:rPr>
          <w:vertAlign w:val="baseline"/>
        </w:rPr>
        <w:t xml:space="preserve">A </w:t>
      </w:r>
      <w:r>
        <w:rPr>
          <w:vertAlign w:val="baseline"/>
        </w:rPr>
        <w:t xml:space="preserve">Kúria</w:t>
      </w:r>
      <w:r>
        <w:rPr>
          <w:vertAlign w:val="baseline"/>
        </w:rPr>
        <w:t xml:space="preserve"> – a </w:t>
      </w:r>
      <w:r>
        <w:rPr>
          <w:vertAlign w:val="baseline"/>
        </w:rPr>
        <w:t xml:space="preserve">Kúria</w:t>
      </w:r>
      <w:r>
        <w:rPr>
          <w:vertAlign w:val="baseline"/>
        </w:rPr>
        <w:t xml:space="preserve"> elnöke számára a bíróságok szervezetéről és igazgatásáról szóló 2011. évi </w:t>
      </w:r>
      <w:r>
        <w:rPr>
          <w:vertAlign w:val="baseline"/>
        </w:rPr>
        <w:t xml:space="preserve">CLXI.</w:t>
      </w:r>
      <w:r>
        <w:rPr>
          <w:vertAlign w:val="baseline"/>
        </w:rPr>
        <w:t xml:space="preserve"> törvény 10. § (2) bekezdésében biztosított felhatalmazás alapján, a </w:t>
      </w:r>
      <w:r>
        <w:rPr>
          <w:vertAlign w:val="baseline"/>
        </w:rPr>
        <w:t xml:space="preserve">Kúria</w:t>
      </w:r>
      <w:r>
        <w:rPr>
          <w:vertAlign w:val="baseline"/>
        </w:rPr>
        <w:t xml:space="preserve"> ügyelosztási rendjének </w:t>
      </w:r>
      <w:r>
        <w:rPr>
          <w:vertAlign w:val="baseline"/>
        </w:rPr>
        <w:t xml:space="preserve">IV.</w:t>
      </w:r>
      <w:r>
        <w:rPr>
          <w:vertAlign w:val="baseline"/>
        </w:rPr>
        <w:t xml:space="preserve">6. pontjában írt rendelkezése nyomán – öttagú tanácsban járt el.</w:t>
      </w:r>
    </w:p>
    <w:p>
      <w:pPr>
        <w:jc w:val="both"/>
      </w:pPr>
      <w:r>
        <w:rPr>
          <w:vertAlign w:val="baseline"/>
        </w:rPr>
        <w:t xml:space="preserve">[56]</w:t>
      </w:r>
      <w:r>
        <w:rPr>
          <w:vertAlign w:val="baseline"/>
        </w:rPr>
        <w:t xml:space="preserve">      </w:t>
      </w:r>
      <w:r>
        <w:rPr>
          <w:b/>
          <w:vertAlign w:val="baseline"/>
        </w:rPr>
        <w:t xml:space="preserve">IV.</w:t>
      </w:r>
      <w:r>
        <w:rPr>
          <w:vertAlign w:val="baseline"/>
        </w:rPr>
        <w:t xml:space="preserve"> A végzés elleni fellebbezés lehetőségét a </w:t>
      </w:r>
      <w:r>
        <w:rPr>
          <w:vertAlign w:val="baseline"/>
        </w:rPr>
        <w:t xml:space="preserve">Be.</w:t>
      </w:r>
      <w:r>
        <w:rPr>
          <w:vertAlign w:val="baseline"/>
        </w:rPr>
        <w:t xml:space="preserve"> 6. § (4) bekezdése, a felülvizsgálatot pedig a </w:t>
      </w:r>
      <w:r>
        <w:rPr>
          <w:vertAlign w:val="baseline"/>
        </w:rPr>
        <w:t xml:space="preserve">Be.</w:t>
      </w:r>
      <w:r>
        <w:rPr>
          <w:vertAlign w:val="baseline"/>
        </w:rPr>
        <w:t xml:space="preserve"> 650. § (1) bekezdés b) pontja zárja ki.</w:t>
      </w:r>
    </w:p>
    <w:p>
      <w:pPr>
        <w:jc w:val="both"/>
      </w:pPr>
      <w:r>
        <w:rPr>
          <w:vertAlign w:val="baseline"/>
        </w:rPr>
        <w:t xml:space="preserve">[57]</w:t>
      </w:r>
      <w:r>
        <w:rPr>
          <w:vertAlign w:val="baseline"/>
        </w:rPr>
        <w:t xml:space="preserve">      </w:t>
      </w:r>
      <w:r>
        <w:rPr>
          <w:vertAlign w:val="baseline"/>
        </w:rPr>
        <w:t xml:space="preserve">A </w:t>
      </w:r>
      <w:r>
        <w:rPr>
          <w:vertAlign w:val="baseline"/>
        </w:rPr>
        <w:t xml:space="preserve">Be.</w:t>
      </w:r>
      <w:r>
        <w:rPr>
          <w:vertAlign w:val="baseline"/>
        </w:rPr>
        <w:t xml:space="preserve"> 652. § (6) bekezdése szerint minden jogosult csak egyszer nyújthat be felülvizsgálati indítványt, kivéve, ha az újabb felülvizsgálati indítvány benyújtása a </w:t>
      </w:r>
      <w:r>
        <w:rPr>
          <w:vertAlign w:val="baseline"/>
        </w:rPr>
        <w:t xml:space="preserve">Be.</w:t>
      </w:r>
      <w:r>
        <w:rPr>
          <w:vertAlign w:val="baseline"/>
        </w:rPr>
        <w:t xml:space="preserve"> 649. § </w:t>
      </w:r>
      <w:r>
        <w:rPr>
          <w:vertAlign w:val="baseline"/>
        </w:rPr>
        <w:t xml:space="preserve">(3)-(5)</w:t>
      </w:r>
      <w:r>
        <w:rPr>
          <w:vertAlign w:val="baseline"/>
        </w:rPr>
        <w:t xml:space="preserve"> bekezdésén alapul. A </w:t>
      </w:r>
      <w:r>
        <w:rPr>
          <w:vertAlign w:val="baseline"/>
        </w:rPr>
        <w:t xml:space="preserve">Be.</w:t>
      </w:r>
      <w:r>
        <w:rPr>
          <w:vertAlign w:val="baseline"/>
        </w:rPr>
        <w:t xml:space="preserve"> 656. § (4) bekezdésének első fordulata pedig akként rendelkezik, hogy az ugyanazon jogosult által ismételten előterjesztett indítványt a </w:t>
      </w:r>
      <w:r>
        <w:rPr>
          <w:vertAlign w:val="baseline"/>
        </w:rPr>
        <w:t xml:space="preserve">Kúria</w:t>
      </w:r>
      <w:r>
        <w:rPr>
          <w:vertAlign w:val="baseline"/>
        </w:rPr>
        <w:t xml:space="preserve"> érdemi indokolás nélkül elutasíthatja.</w:t>
      </w:r>
    </w:p>
    <w:p>
      <w:pPr>
        <w:jc w:val="left"/>
      </w:pPr>
      <w:r>
        <w:rPr>
          <w:vertAlign w:val="baseline"/>
        </w:rPr>
        <w:t xml:space="preserve"> </w:t>
      </w:r>
      <w:r>
        <w:br/>
      </w:r>
    </w:p>
    <w:p>
      <w:pPr>
        <w:jc w:val="both"/>
      </w:pPr>
      <w:r>
        <w:rPr>
          <w:vertAlign w:val="baseline"/>
        </w:rPr>
        <w:t xml:space="preserve">Budapest, 2023. szeptember 28.</w:t>
      </w:r>
    </w:p>
    <w:p>
      <w:pPr>
        <w:jc w:val="left"/>
      </w:pPr>
      <w:r>
        <w:rPr>
          <w:vertAlign w:val="baseline"/>
        </w:rPr>
        <w:t xml:space="preserve"> </w:t>
      </w:r>
      <w:r>
        <w:br/>
      </w:r>
    </w:p>
    <w:p>
      <w:pPr>
        <w:jc w:val="both"/>
      </w:pPr>
      <w:r>
        <w:rPr>
          <w:vertAlign w:val="baseline"/>
        </w:rPr>
        <w:t xml:space="preserve">Dr. Somogyi Gábor</w:t>
      </w:r>
      <w:r>
        <w:rPr>
          <w:vertAlign w:val="baseline"/>
        </w:rPr>
        <w:t xml:space="preserve"> s.k. a tanács elnöke, </w:t>
      </w:r>
      <w:r>
        <w:rPr>
          <w:vertAlign w:val="baseline"/>
        </w:rPr>
        <w:t xml:space="preserve">Dr. Metzing Márton</w:t>
      </w:r>
      <w:r>
        <w:rPr>
          <w:vertAlign w:val="baseline"/>
        </w:rPr>
        <w:t xml:space="preserve"> s.k. előadó bíró, </w:t>
      </w:r>
      <w:r>
        <w:rPr>
          <w:vertAlign w:val="baseline"/>
        </w:rPr>
        <w:t xml:space="preserve">Dr. Harangozó Attila</w:t>
      </w:r>
      <w:r>
        <w:rPr>
          <w:vertAlign w:val="baseline"/>
        </w:rPr>
        <w:t xml:space="preserve"> s.k. bíró, </w:t>
      </w:r>
      <w:r>
        <w:rPr>
          <w:vertAlign w:val="baseline"/>
        </w:rPr>
        <w:t xml:space="preserve">Dr. Demeter Zsuzsanna</w:t>
      </w:r>
      <w:r>
        <w:rPr>
          <w:vertAlign w:val="baseline"/>
        </w:rPr>
        <w:t xml:space="preserve"> s.k. bíró, </w:t>
      </w:r>
      <w:r>
        <w:rPr>
          <w:vertAlign w:val="baseline"/>
        </w:rPr>
        <w:t xml:space="preserve">Dr. Boros Tibor</w:t>
      </w:r>
      <w:r>
        <w:rPr>
          <w:vertAlign w:val="baseline"/>
        </w:rPr>
        <w:t xml:space="preserve"> s.k. bíró</w:t>
      </w:r>
    </w:p>
    <w:p>
      <w:pPr>
        <w:jc w:val="left"/>
      </w:pPr>
      <w:r>
        <w:rPr>
          <w:vertAlign w:val="baseline"/>
        </w:rPr>
        <w:t xml:space="preserve"> </w:t>
      </w:r>
      <w:r>
        <w:br/>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215" w:rsidRDefault="009A6215" w:rsidP="0014128E">
      <w:pPr>
        <w:spacing w:after="0"/>
      </w:pPr>
      <w:r>
        <w:separator/>
      </w:r>
    </w:p>
  </w:endnote>
  <w:endnote w:type="continuationSeparator" w:id="0">
    <w:p w:rsidR="009A6215" w:rsidRDefault="009A6215"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2C" w:rsidRDefault="0093752C">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2C" w:rsidRDefault="0093752C">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9A6215"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215" w:rsidRDefault="009A6215" w:rsidP="0014128E">
      <w:pPr>
        <w:spacing w:after="0"/>
      </w:pPr>
      <w:r>
        <w:separator/>
      </w:r>
    </w:p>
  </w:footnote>
  <w:footnote w:type="continuationSeparator" w:id="0">
    <w:p w:rsidR="009A6215" w:rsidRDefault="009A6215"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2C" w:rsidRDefault="0093752C">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36C87">
    <w:pPr>
      <w:pStyle w:val="lfej"/>
    </w:pPr>
    <w:r>
      <w:t>Kúria</w:t>
    </w:r>
    <w:r w:rsidR="000061FE">
      <w:tab/>
    </w:r>
    <w:r w:rsidR="000061FE">
      <w:fldChar w:fldCharType="begin"/>
    </w:r>
    <w:r w:rsidR="000061FE">
      <w:instrText xml:space="preserve"> PAGE  \* Arabic  \* MERGEFORMAT </w:instrText>
    </w:r>
    <w:r w:rsidR="000061FE">
      <w:fldChar w:fldCharType="separate"/>
    </w:r>
    <w:r w:rsidR="00666525">
      <w:rPr>
        <w:noProof/>
      </w:rPr>
      <w:t>2</w:t>
    </w:r>
    <w:r w:rsidR="000061FE">
      <w:fldChar w:fldCharType="end"/>
    </w:r>
  </w:p>
  <w:p w:rsidR="0093752C" w:rsidRDefault="0093752C">
    <w:pPr>
      <w:pStyle w:val="lfej"/>
    </w:pPr>
    <w:r>
      <w:t>2.Bfv.1.477/2022/7-II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D354AC" w:rsidRDefault="0079103E">
    <w:pPr>
      <w:pStyle w:val="lfej"/>
      <w:spacing w:after="480"/>
    </w:pP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34963"/>
    <w:rsid w:val="0005723F"/>
    <w:rsid w:val="00065DC3"/>
    <w:rsid w:val="0008220C"/>
    <w:rsid w:val="00091769"/>
    <w:rsid w:val="000B782D"/>
    <w:rsid w:val="000F498D"/>
    <w:rsid w:val="00136C87"/>
    <w:rsid w:val="0014128E"/>
    <w:rsid w:val="001719C9"/>
    <w:rsid w:val="001E0961"/>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666525"/>
    <w:rsid w:val="006754E2"/>
    <w:rsid w:val="00757E57"/>
    <w:rsid w:val="007660D3"/>
    <w:rsid w:val="0079103E"/>
    <w:rsid w:val="00853160"/>
    <w:rsid w:val="008E2EA8"/>
    <w:rsid w:val="008E6F0B"/>
    <w:rsid w:val="0093752C"/>
    <w:rsid w:val="00994AF4"/>
    <w:rsid w:val="009A6215"/>
    <w:rsid w:val="00B54D1F"/>
    <w:rsid w:val="00B76174"/>
    <w:rsid w:val="00BE3D8F"/>
    <w:rsid w:val="00C811EB"/>
    <w:rsid w:val="00CB591D"/>
    <w:rsid w:val="00CD4772"/>
    <w:rsid w:val="00D322E0"/>
    <w:rsid w:val="00D354AC"/>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B5CFB"/>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6EE93-D828-4236-8F83-A310B9128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2020-01-21T10:01:00Z</dcterms:modified>
</cp:coreProperties>
</file>