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center"/>
      </w:pPr>
      <w:r>
        <w:rPr>
          <w:b/>
          <w:vertAlign w:val="baseline"/>
        </w:rPr>
        <w:t xml:space="preserve">ítélete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Pfv.IV.20.350/2022/5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Dr. Kovács Zsuzsanna</w:t>
      </w:r>
      <w:r>
        <w:rPr>
          <w:vertAlign w:val="baseline"/>
        </w:rPr>
        <w:t xml:space="preserve"> a tanács elnöke</w:t>
      </w:r>
      <w:r>
        <w:rPr>
          <w:vertAlign w:val="baseline"/>
        </w:rPr>
        <w:t xml:space="preserve">          </w:t>
      </w:r>
    </w:p>
    <w:p>
      <w:pPr>
        <w:jc w:val="both"/>
      </w:pPr>
      <w:r>
        <w:rPr>
          <w:vertAlign w:val="baseline"/>
        </w:rPr>
        <w:t xml:space="preserve">Dr. Dzsula Marianna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Böszörményiné </w:t>
      </w:r>
      <w:r>
        <w:rPr>
          <w:vertAlign w:val="baseline"/>
        </w:rPr>
        <w:t xml:space="preserve">dr. Kovács Katalin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 </w:t>
      </w:r>
    </w:p>
    <w:p>
      <w:pPr>
        <w:jc w:val="both"/>
      </w:pPr>
      <w:r>
        <w:rPr>
          <w:vertAlign w:val="baseline"/>
        </w:rPr>
        <w:t xml:space="preserve">felperes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</w:p>
    <w:p>
      <w:pPr>
        <w:jc w:val="both"/>
      </w:pPr>
      <w:r>
        <w:rPr>
          <w:vertAlign w:val="baseline"/>
        </w:rPr>
        <w:t xml:space="preserve">Dr. Becsei Zoltán</w:t>
      </w:r>
      <w:r>
        <w:rPr>
          <w:vertAlign w:val="baseline"/>
        </w:rPr>
        <w:t xml:space="preserve"> ügyvéd 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 </w:t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</w:p>
    <w:p>
      <w:pPr>
        <w:jc w:val="both"/>
      </w:pPr>
      <w:r>
        <w:rPr>
          <w:vertAlign w:val="baseline"/>
        </w:rPr>
        <w:t xml:space="preserve">alperes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) </w:t>
      </w:r>
    </w:p>
    <w:p>
      <w:pPr>
        <w:jc w:val="both"/>
      </w:pPr>
      <w:r>
        <w:rPr>
          <w:b/>
          <w:vertAlign w:val="baseline"/>
        </w:rPr>
        <w:t xml:space="preserve">Az alperes képviselője:</w:t>
      </w:r>
    </w:p>
    <w:p>
      <w:pPr>
        <w:jc w:val="both"/>
      </w:pPr>
      <w:r>
        <w:rPr>
          <w:vertAlign w:val="baseline"/>
        </w:rPr>
        <w:t xml:space="preserve">Balassy </w:t>
      </w:r>
      <w:r>
        <w:rPr>
          <w:vertAlign w:val="baseline"/>
        </w:rPr>
        <w:t xml:space="preserve">Ügyvédi Iroda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, ügyintéző: </w:t>
      </w:r>
      <w:r>
        <w:rPr>
          <w:vertAlign w:val="baseline"/>
        </w:rPr>
        <w:t xml:space="preserve">dr. Balassy Gábor</w:t>
      </w:r>
      <w:r>
        <w:rPr>
          <w:vertAlign w:val="baseline"/>
        </w:rPr>
        <w:t xml:space="preserve"> ügyvéd) </w:t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 </w:t>
      </w:r>
    </w:p>
    <w:p>
      <w:pPr>
        <w:jc w:val="both"/>
      </w:pPr>
      <w:r>
        <w:rPr>
          <w:vertAlign w:val="baseline"/>
        </w:rPr>
        <w:t xml:space="preserve">Személyes adat törlése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</w:t>
      </w:r>
    </w:p>
    <w:p>
      <w:pPr>
        <w:jc w:val="both"/>
      </w:pPr>
      <w:r>
        <w:rPr>
          <w:vertAlign w:val="baseline"/>
        </w:rPr>
        <w:t xml:space="preserve">A felperes</w:t>
      </w:r>
      <w:r>
        <w:rPr>
          <w:vertAlign w:val="baseline"/>
        </w:rPr>
        <w:t xml:space="preserve">            </w:t>
      </w:r>
    </w:p>
    <w:p>
      <w:pPr>
        <w:jc w:val="both"/>
      </w:pPr>
      <w:r>
        <w:rPr>
          <w:b/>
          <w:vertAlign w:val="baseline"/>
        </w:rPr>
        <w:t xml:space="preserve">A másodfokú bíróság neve és a jogerős határozat száma:</w:t>
      </w:r>
    </w:p>
    <w:p>
      <w:pPr>
        <w:jc w:val="both"/>
      </w:pPr>
      <w:r>
        <w:rPr>
          <w:vertAlign w:val="baseline"/>
        </w:rPr>
        <w:t xml:space="preserve">Fővárosi </w:t>
      </w:r>
      <w:r>
        <w:rPr>
          <w:vertAlign w:val="baseline"/>
        </w:rPr>
        <w:t xml:space="preserve">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2.Pf.20.712/2021/5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b/>
          <w:vertAlign w:val="baseline"/>
        </w:rPr>
        <w:t xml:space="preserve">Az elsőfokú bíróság neve és a határozat száma:</w:t>
      </w:r>
    </w:p>
    <w:p>
      <w:pPr>
        <w:jc w:val="both"/>
      </w:pPr>
      <w:r>
        <w:rPr>
          <w:vertAlign w:val="baseline"/>
        </w:rPr>
        <w:t xml:space="preserve">Fővárosi </w:t>
      </w:r>
      <w:r>
        <w:rPr>
          <w:vertAlign w:val="baseline"/>
        </w:rPr>
        <w:t xml:space="preserve">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65.P.23.425/2020/18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hatályában fenntartja.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Kötelezi a felperest, hogy 15 napon belül fizessen meg az alperesnek </w:t>
      </w:r>
      <w:r>
        <w:rPr>
          <w:vertAlign w:val="baseline"/>
        </w:rPr>
        <w:t xml:space="preserve">127.000</w:t>
      </w:r>
      <w:r>
        <w:rPr>
          <w:vertAlign w:val="baseline"/>
        </w:rPr>
        <w:t xml:space="preserve"> (százhuszonhétezer) forint felülvizsgálati eljárási költséget.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Az ítélet ellen felülvizsgálatnak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 alapjául szolgáló 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– szerződést biztosító mellékkötelezettségként kötött zálogszerződést a </w:t>
      </w:r>
      <w:r>
        <w:rPr>
          <w:vertAlign w:val="baseline"/>
        </w:rPr>
        <w:t xml:space="preserve">név</w:t>
      </w:r>
      <w:r>
        <w:rPr>
          <w:vertAlign w:val="baseline"/>
        </w:rPr>
        <w:t xml:space="preserve"> Kft. adós és a </w:t>
      </w:r>
      <w:r>
        <w:rPr>
          <w:vertAlign w:val="baseline"/>
        </w:rPr>
        <w:t xml:space="preserve">név1</w:t>
      </w:r>
      <w:r>
        <w:rPr>
          <w:vertAlign w:val="baseline"/>
        </w:rPr>
        <w:t xml:space="preserve"> Zrt. között létrejött kölcsönszerződés biztosítékául. </w:t>
      </w:r>
      <w:r>
        <w:rPr>
          <w:vertAlign w:val="baseline"/>
        </w:rPr>
        <w:t xml:space="preserve">Az adós a tartozását szerződésszerűen nem fizette meg. A </w:t>
      </w:r>
      <w:r>
        <w:rPr>
          <w:vertAlign w:val="baseline"/>
        </w:rPr>
        <w:t xml:space="preserve">név1</w:t>
      </w:r>
      <w:r>
        <w:rPr>
          <w:vertAlign w:val="baseline"/>
        </w:rPr>
        <w:t xml:space="preserve"> Zrt. 2014. április 14-én engedményezte a követelését az alperesre.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mint pénzügyi intézmény számára a </w:t>
      </w:r>
      <w:r>
        <w:rPr>
          <w:vertAlign w:val="baseline"/>
        </w:rPr>
        <w:t xml:space="preserve">PSZÁF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szám</w:t>
      </w:r>
      <w:r>
        <w:rPr>
          <w:vertAlign w:val="baseline"/>
        </w:rPr>
        <w:t xml:space="preserve"> számú felügyeleti határozatával engedélyezte üzletszerűen a hitel és pénzkölcsön nyújtási gazdasági tevékenységet, ennek keretében jogosult üzletszerűen a követelésvásárlási gazdasági tevékenység folytatására.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</w:t>
      </w:r>
      <w:r>
        <w:rPr>
          <w:vertAlign w:val="baseline"/>
        </w:rPr>
        <w:t xml:space="preserve">2014. május 9-én „Értesítés követelés engedményezéséről teljesítési utasítással” elnevezésű okiratban értesítette a felperest az engedményezésről, a dokumentum jobb felső sarkában az alperes által használt nyilvántartási számot (</w:t>
      </w:r>
      <w:r>
        <w:rPr>
          <w:vertAlign w:val="baseline"/>
        </w:rPr>
        <w:t xml:space="preserve">szám1</w:t>
      </w:r>
      <w:r>
        <w:rPr>
          <w:vertAlign w:val="baseline"/>
        </w:rPr>
        <w:t xml:space="preserve">) tüntette fel.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Az alperes 2015. július 13-án kérte a közjegyzőtől végrehajtási záradék kiállítását a felperessel szemben az engedményezett követelés tárgyában.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végrehajtási záradék a felperes következő adatait tartalmazta: a neve, leánykori neve, születési helye és ideje, adóazonosító száma, lakcíme, valamint a követelés biztosítékául lekötött ingatlana adatai. Az alperes a végrehajtási záradék kiállítása előtt kérte az adatvédelmi hatóságtól az „egyéb követeléskezelés céljából történő nyilvántartásba vételét,” ennek rögzítésére 2015.július 21-én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2115840/2015</w:t>
      </w:r>
      <w:r>
        <w:rPr>
          <w:vertAlign w:val="baseline"/>
        </w:rPr>
        <w:t xml:space="preserve">/N. számú határozatával került sor.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nem fizette meg az alperesnek a követelést, kérte a végrehajtási záradék törlését. A </w:t>
      </w:r>
      <w:r>
        <w:rPr>
          <w:vertAlign w:val="baseline"/>
        </w:rPr>
        <w:t xml:space="preserve">Gyulai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9.Pkf.25.302/2020/3</w:t>
      </w:r>
      <w:r>
        <w:rPr>
          <w:vertAlign w:val="baseline"/>
        </w:rPr>
        <w:t xml:space="preserve">. számú jogerős végzésével az eljáró közjegyző - záradék törlése iránti kérelmét elutasító - végzését helybenhagyta.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2020. március 12-én kérte az alperestől, hogy bocsássa rendelkezésére a személyes adatai adatkezelési nyilvántartási számát, amelyet (engedményes) adatkezelőként a személyes adatai továbbításánál, felhasználásánál kötelező feltüntetnie. Az alperes válasziratában arról tájékoztatta felperest, hogy nincs egyedi nyilvántartási száma a felperessel szemben fennálló követelésének.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kereseti kérelem és az alperes védekezése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keresetében kérte kötelezni az alperest </w:t>
      </w:r>
      <w:r>
        <w:rPr>
          <w:vertAlign w:val="baseline"/>
        </w:rPr>
        <w:t xml:space="preserve">a vele szemben kiállított végrehajtási záradék 1/a.,1/b., 1/c., 4/c. pontjában rögzített személyes adatai (neve, lánykori neve, születési helye, ideje, adóazonosító száma, lakcíme és az ingatlana adatai) törlésére, valamint, hogy mindazokat haladéktalanul értesítse a személyes adatok törléséről, akiknek azokat adatkezelés céljából továbbította. Állította, hogy mivel az alperes nem jelentette be az adatvédelmi hatóságnak a felperes adataira vonatkozó adatkezelési tevékenységét, jogellenes az adatainak a felhasználása.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alperes a kereset elutasítását kérte. Álláspontja szerint az adatkezelése engedményesként célhoz kötött, szükséges és arányos, a felperesnek kizárólag olyan adatait kezeli, amelyek az engedményezett követelés érvényesítéséhez szükségesek.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első- és másodfokú ítélet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elsőfokú bíróság ítéletében a keresetet elutasította.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elsőfokú bíróság indokolása szerint </w:t>
      </w:r>
      <w:r>
        <w:rPr>
          <w:vertAlign w:val="baseline"/>
        </w:rPr>
        <w:t xml:space="preserve">az alperes az engedményezési szerződés alapján 2014. április 14-től a követelés érvényesítése érdekében kezelte a felperes személyes adatait.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Ezért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keresettel érvényesített igény érdemi elbírálása során az információs önrendelkezési jogról és az információszabadságról szóló 2011. évi </w:t>
      </w:r>
      <w:r>
        <w:rPr>
          <w:vertAlign w:val="baseline"/>
        </w:rPr>
        <w:t xml:space="preserve">CXII.</w:t>
      </w:r>
      <w:r>
        <w:rPr>
          <w:vertAlign w:val="baseline"/>
        </w:rPr>
        <w:t xml:space="preserve"> törvénynek (a továbbiakban: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) az alperes adatkezelésének keletkezésekor (2014. április 14.) hatályos rendelkezéseit kell alkalmazni. Kiemelte,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a 68. § (6) bekezdése szerint a nyilvántartási szám az adatkezelés azonosítására szolgál, nem tanúsítja a nyilvántartásba vett adatkezelés jogszerűségét. A nyilvántartásba vétel elmaradása, vagy késedelmes volta az adatkezelés jogszerűségét önmagában nem érinti. Az alperes igényének érvényesíthetősége az engedményezési szerződéssel együtt átruházott okiratokból jut(hat)ott az alperes tudomására,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6. § (1)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 alapján a jogos érdek érvényesítése céljából szükséges adatok kezelésére ezáltal vált jogosulttá, így az adatkezelése jogszerű.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megállapítása szerint az alperes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20.§-a értelmében kizárólag jogellenes adatkezelés esetén lenne kötelezhető a kezelt adatok törlésére, ez a rendelkezés kötelező adatkezelés esetén azonban nem alkalmazható. Az adatkezelési nyilvántartási szám hiánya nem eredményezi az adatkezelés jogszerűtlenségét, az csupán egy regisztrációs aktus, amelynek az elmaradása –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gyakorlata alapján – nem eredményezi a kezelt adatok törlését.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módosítása miatt az adatkezelő iratain ezt a nyilvántartási számot fel sem kell tüntetni.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nem vizsgálta, hogy az alperes bejelentése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felé megfelelt-e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65. §-ának, mivel a bírósági eljárás kereteit meghaladja ennek a közigazgatási aktusnak a felülbírálata. Az alperes igazolta, hogy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nyilvántartásba ezt a tevékenységét, amely többek közt feljogosította a felperes (adós) adatainak a kezelésére is.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fellebbezése folytán eljárt másodfokú bíróság ítéletével </w:t>
      </w:r>
      <w:r>
        <w:rPr>
          <w:vertAlign w:val="baseline"/>
        </w:rPr>
        <w:t xml:space="preserve">az elsőfokú bíróság ítéletét – részben eltérő indokok alapján – helybenhagyta</w:t>
      </w:r>
      <w:r>
        <w:rPr>
          <w:vertAlign w:val="baseline"/>
        </w:rPr>
        <w:t xml:space="preserve">.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indokolása szerint az elsőfokú bíróság helytállóan állapította meg, hogy az alperes az engedményezési szerződés létrejöttétől, 2014. április 14-től kezelte a felperes személyes adatait, ezért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-nek az akkor hatályos rendelkezéseit kell alkalmazni az adatkezelés jogellenesének a megítélésénél. Nem értett egyet az elsőfokú bírósággal abban, hogy az alperes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5. § (1)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 szerinti kötelező adatkezelést végzett.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5. § (3) bekezdése alapján ugyanis kötelező adatkezelés esetén a kezelendő adatok fajtáit, az adatkezelés célját és feltételeit, az adatok megismerhetőségét, az adatkezelés időtartamát, valamint az adatkezelő személyét az adatkezelést elrendelő törvény, illetve önkormányzati rendelet határozza meg, ilyenre azonban a felek nem hivatkoztak és a másodfokú bíróság sem ismer, az </w:t>
      </w:r>
      <w:r>
        <w:rPr>
          <w:vertAlign w:val="baseline"/>
        </w:rPr>
        <w:t xml:space="preserve">ABH</w:t>
      </w:r>
      <w:r>
        <w:rPr>
          <w:vertAlign w:val="baseline"/>
        </w:rPr>
        <w:t xml:space="preserve"> jogértelmezése emiatt a konkrét ügyre nem irányadó. A felperes által az érvényesíteni kívánt jog jogalapjaként megjelölt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17. § (2)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 és az abban hivatkozott 14. § 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 pontja szerinti kivétel (kötelező adatkezelés) nem alkalmazható.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megítélése szerint az alperes (engedményes) adatkezelésének jogalapja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6. § (5)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pontja, amelynek az a feltétele, hogy az adatkezelő jogos érdekének az érvényesítése arányban álljon a felperes személyes adatok védelméhez fűződő jogának a korlátozásával. Rögzítette, hogy az alperes adatkezelésének jogalapját az engedményezési szerződés teremtette meg, az annak tárgyát képező zálogszerződésben a személyes adatok megjelölése a felperes hozzájárulásával történt. A felperes személyiségi jogának korlátozását pedig arányosnak minősítette, mivel a törölni kért adatok szükségesek az alperes követelésének a behajtásához, azok kezelése nélkül a zálogjogosult jogos érdeke, a biztosított követelés kötelezettjének teljesítése nem kikényszeríthető.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rámutatott, hogy az alperes adatkezelése nem vált jogellenessé az adatvédelmi nyilvántartásba vétel hiánya, valamint az adatkezelési nyilvántartási száma feltüntetésének elmaradása miatt, ezért a felperes személyes adatai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17. § (2) bekezdés </w:t>
      </w:r>
      <w:r>
        <w:rPr>
          <w:i/>
          <w:vertAlign w:val="baseline"/>
        </w:rPr>
        <w:t xml:space="preserve">a</w:t>
      </w:r>
      <w:r>
        <w:rPr>
          <w:vertAlign w:val="baseline"/>
        </w:rPr>
        <w:t xml:space="preserve">) pontjára hivatkozással nem törölhetők.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Az alperes azt nem vitatta, hogy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2015. július 21-én vette nyilvántartásba, ezért úgy kezdte meg és 2015. július 20-ig úgy kezelte a felperes – perrel érintett – személyes adatait, hogy nem tartotta be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68. § (1) bekezdésének előírását. A polgári perben azonban nem vizsgálható az, hogy az alperes bejelentésének a nyilvántartásba vétele,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határozata megfelelt-e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előírásainak.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kiemelte: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65.§-a annak érdekében vezette be az adatvédelmi nyilvántartást, hogy elősegítse az érintettek tájékozódását, a regisztráció törvényben deklarált célja az érintettek tájékozódásának elősegítése, amely a nyilvántartási szám keletkeztetésével és annak az adatkezelő általi feltüntetésével valósul meg. Ez a tájékozódás azonban nem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14. §-ában biztosított érintetti jogot, nem az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 pont szerinti tájékoztatáshoz való jogot takarja,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68. § (4) bekezdése szerinti betekintési jog gyakorlását segíti elő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által vezetett adatvédelmi nyilvántartásba. A nyilvántartásba vétel során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nem vizsgálja az adatkezelés jogszerűségét, ezért a nyilvántartásba vétel azt nem is tanúsítja.</w:t>
      </w:r>
      <w:r>
        <w:rPr>
          <w:vertAlign w:val="baseline"/>
        </w:rPr>
        <w:t xml:space="preserve"> N</w:t>
      </w:r>
      <w:r>
        <w:rPr>
          <w:vertAlign w:val="baseline"/>
        </w:rPr>
        <w:t xml:space="preserve">em merült fel olyan adat – ilyen tényállítást a felperes sem tett – amely szerint a felperes a nyilvántartásba vétel elmaradása és ebből kifolyólag a nyilvántartási szám hiánya és feltüntetésének az elmulasztása miatt nem tudta azonosítani az alperes adatkezelését, ez bármilyen módon korlátozta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14. § szerinti érintetti jogainak az érvényesítését.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utalt arra is, hogy a </w:t>
      </w:r>
      <w:r>
        <w:rPr>
          <w:vertAlign w:val="baseline"/>
        </w:rPr>
        <w:t xml:space="preserve">GDPR</w:t>
      </w:r>
      <w:r>
        <w:rPr>
          <w:vertAlign w:val="baseline"/>
        </w:rPr>
        <w:t xml:space="preserve"> 2018. május 25-tól való alkalmazása miatt az adatkezelőket már nem terheli az adatkezelés nyilvántartásba vételének, a nyilvántartási szám feltüntetésének kötelezettsége,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által vezetett nyilvántartás ugyanis megszűnt. A </w:t>
      </w:r>
      <w:r>
        <w:rPr>
          <w:vertAlign w:val="baseline"/>
        </w:rPr>
        <w:t xml:space="preserve">GDPR</w:t>
      </w:r>
      <w:r>
        <w:rPr>
          <w:vertAlign w:val="baseline"/>
        </w:rPr>
        <w:t xml:space="preserve"> rendelkezéseivel összhangban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sem tartalmaz erre vonatkozó rendelkezést 2018. július 26-tól.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módosítása is alátámasztja, hogy a korábbi regisztrációs eljárás nem érintette az információs önrendelkezési jog, a személyes adatok védelméhez fűződő, </w:t>
      </w:r>
      <w:r>
        <w:rPr>
          <w:vertAlign w:val="baseline"/>
        </w:rPr>
        <w:t xml:space="preserve">Alaptörvényben</w:t>
      </w:r>
      <w:r>
        <w:rPr>
          <w:vertAlign w:val="baseline"/>
        </w:rPr>
        <w:t xml:space="preserve"> biztosított alapjog védelmezni kívánt lényegi magját. Az alperes öt évvel korábbi mulasztása és a nyilvántartási szám feltüntetésének a hiánya – mindkettő adminisztratív jellegű mulasztás –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-nek 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28. cikke szerinti értelmezése alapján nem eredményezi, hogy a felperes személyes adatainak a törlése miatt az alperes elveszítse a jogi érdeke (a követelése) védelmének biztosítékát.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ezért az elsőfokú bíróság ítéletét a</w:t>
      </w:r>
      <w:r>
        <w:rPr>
          <w:vertAlign w:val="baseline"/>
        </w:rPr>
        <w:t xml:space="preserve">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383. § (2) bekezdése alapján helybenhagyta.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kérelem és ellenkérelem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jogerős ítélet ellen a felperes terjesztett elő felülvizsgálati kérelmet, amelyben – tartalma szerint – kérte annak hatályon kívül helyezését, az elsőfokú bíróság ítéletének megváltoztatását és a keresetének való helyt adást. </w:t>
      </w:r>
      <w:r>
        <w:rPr>
          <w:vertAlign w:val="baseline"/>
        </w:rPr>
        <w:t xml:space="preserve">Megsértett jogszabályként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4. § (1) bekezdését, 5. § (1)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pontját, a 17. § (2) bekezdés a) pontját, a 65. § (1) bekezdését, 66. § (2) bekezdését, 68. § (6) bekezdését,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1:4. § (2) bekezdését,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 (1) bekezdését, a 346. § (4)–(5) bekezdéseit jelölte meg. Hivatkozott az </w:t>
      </w:r>
      <w:r>
        <w:rPr>
          <w:vertAlign w:val="baseline"/>
        </w:rPr>
        <w:t xml:space="preserve">Alaptörvény VI.</w:t>
      </w:r>
      <w:r>
        <w:rPr>
          <w:vertAlign w:val="baseline"/>
        </w:rPr>
        <w:t xml:space="preserve"> cikk (3) bekezdésének, </w:t>
      </w:r>
      <w:r>
        <w:rPr>
          <w:vertAlign w:val="superscript"/>
        </w:rPr>
        <w:t xml:space="preserve"> 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I. cikk (1) bekezdésének, a személyes adatok feldolgozása vonatkozásában az egyének védelméről és az ilyen adatok szabad áramlásáról szóló, az </w:t>
      </w:r>
      <w:r>
        <w:rPr>
          <w:vertAlign w:val="baseline"/>
        </w:rPr>
        <w:t xml:space="preserve">Európai Parlament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Tanács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95/46/EK</w:t>
      </w:r>
      <w:r>
        <w:rPr>
          <w:vertAlign w:val="baseline"/>
        </w:rPr>
        <w:t xml:space="preserve"> irányelve (a továbbiakban: adatvédelmi irányelv) 18. cikk (5) bekezdésének, a 32. cikk (2) bekezdésének, az </w:t>
      </w:r>
      <w:r>
        <w:rPr>
          <w:vertAlign w:val="baseline"/>
        </w:rPr>
        <w:t xml:space="preserve">Európai Unió Működéséről</w:t>
      </w:r>
      <w:r>
        <w:rPr>
          <w:vertAlign w:val="baseline"/>
        </w:rPr>
        <w:t xml:space="preserve"> szóló szerződés (a továbbiakban: </w:t>
      </w:r>
      <w:r>
        <w:rPr>
          <w:vertAlign w:val="baseline"/>
        </w:rPr>
        <w:t xml:space="preserve">EUMSz</w:t>
      </w:r>
      <w:r>
        <w:rPr>
          <w:vertAlign w:val="baseline"/>
        </w:rPr>
        <w:t xml:space="preserve">) 16. cikk (1) bekezdésének, az </w:t>
      </w:r>
      <w:r>
        <w:rPr>
          <w:vertAlign w:val="baseline"/>
        </w:rPr>
        <w:t xml:space="preserve">Európai Unió Alapjogi Chartája</w:t>
      </w:r>
      <w:r>
        <w:rPr>
          <w:vertAlign w:val="baseline"/>
        </w:rPr>
        <w:t xml:space="preserve"> 8. cikk (1) bekezdésének a megsértésére is.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Felülvizsgálati</w:t>
      </w:r>
      <w:r>
        <w:rPr>
          <w:vertAlign w:val="baseline"/>
        </w:rPr>
        <w:t xml:space="preserve"> álláspontja szerint az alperes (adatkezelő) adatkezelésének az adatvédelmi nyilvántartásba történő, a kezelt adatokra vonatkozó – alperes által nem vitatott – bejelentésének és az adatkezelési nyilvántartási szám feltüntetésének hiánya sérti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megjelölt rendelkezéseit. A mulasztása miatt jogellenes az adatkezelése, ezért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17. § (2)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 pontja alapján törölnie kell a felperes személyes adatait. Az alperes a felperes személyes adatai kezelésével kapcsolatos adatkezelési nyilvántartási számot ugyanis soha nem tüntette fel.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Állította,</w:t>
      </w:r>
      <w:r>
        <w:rPr>
          <w:vertAlign w:val="baseline"/>
        </w:rPr>
        <w:t xml:space="preserve"> hogy a jogerős ítélet megállapítása részben iratellenes, az indoklása sérti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3145/2013</w:t>
      </w:r>
      <w:r>
        <w:rPr>
          <w:vertAlign w:val="baseline"/>
        </w:rPr>
        <w:t xml:space="preserve">. (VII. 16.) </w:t>
      </w:r>
      <w:r>
        <w:rPr>
          <w:vertAlign w:val="baseline"/>
        </w:rPr>
        <w:t xml:space="preserve">AB</w:t>
      </w:r>
      <w:r>
        <w:rPr>
          <w:vertAlign w:val="baseline"/>
        </w:rPr>
        <w:t xml:space="preserve"> határozatát (a továbbiakban: </w:t>
      </w:r>
      <w:r>
        <w:rPr>
          <w:vertAlign w:val="baseline"/>
        </w:rPr>
        <w:t xml:space="preserve">ABH</w:t>
      </w:r>
      <w:r>
        <w:rPr>
          <w:vertAlign w:val="baseline"/>
        </w:rPr>
        <w:t xml:space="preserve">), mivel azt rögzíti, hogy az alperes (adatkezelő) adatkezelése nem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5. (1)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 szerinti kötelező adatkezelés, hanem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6. § (5)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pontján alapul, ezzel megsértette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 (1) bekezdését, a 346. § (4) és (5) bekezdését is.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Hangsúlyozta,</w:t>
      </w:r>
      <w:r>
        <w:rPr>
          <w:vertAlign w:val="baseline"/>
        </w:rPr>
        <w:t xml:space="preserve"> hogy az alperes bizonyítási érdeke volt az adatkezelése jogszerűségének bizonyítása, amelyet elmulasztott.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Sérelmezte</w:t>
      </w:r>
      <w:r>
        <w:rPr>
          <w:vertAlign w:val="baseline"/>
        </w:rPr>
        <w:t xml:space="preserve"> a másodfokú bíróságnak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68. (6) bekezdése körében kifejtett jogértelmezését és az ebből levont következtetését: a regisztrációs szám, az azonosítási szám feltüntetése vagy annak elmaradása nem érinti az adatkezelés jogszerűségének a megítélését. Azt elismerte, hogy az adatkezelési nyilvántartási szám az adatkezelés azonosítására szolgál, nem az adatkezelés jogszerűségét tanúsítja. Állította, hogy ezzel szemben az adatkezelési nyilvántartási szám feltüntetésének a hiánya bizonyítja a felperes személyi adatai adatkezelésének alperes által az adatvédelmi nyilvántartásba történő bejelentésének az elmaradását és ebből következően alperes jogellenes adatkezelését. Vitatta, hogy az alperes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-hoz tett bejelentése megfelelt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65. §-ának, mivel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határozat nem a felperes személyes adatai bejelentéséről „készült”.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Sérelmezte</w:t>
      </w:r>
      <w:r>
        <w:rPr>
          <w:vertAlign w:val="baseline"/>
        </w:rPr>
        <w:t xml:space="preserve"> az eljárt bíróságoknak azt a megállapítását, hogy a bírósági eljárás kereteit meghaladja a közigazgatási aktus felülbírálata. Álláspontja szerint ez olyan kötelezettsége a bíróságoknak, amelynek az elmaradása esetén nem tudnak eleget tenni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346. § (5) bekezdésében foglaltaknak. Hivatkozott arra is, hogy feloldhatatlan ellentmondást jelent a másodfokú bíróságnak az ezzel kapcsolatos érvelése: ha ugyanis nem vizsgálhatja az elkésett bejelentés nyilvántartásba vételéről rendelkező „közigazgatási aktust”, hogyan tudta megállapítani, hogy az alperes eleget tett az adatvédelmi nyilvántartásba történő - törvény által előírt - bejelentési kötelezettségének.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azzal is érvelt, hogy a másodfokú bíróság megítélése szerint {ítélet [45] – [47] bekezdés} is jogellenes az alperes adatkezelése, sérti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68. § (2) bekezdését, ezért jogszabályt sértve utasította el a keresetét. A jogellenesség megítélése körében hivatkozott a kártérítési jog tárgyában </w:t>
      </w:r>
      <w:r>
        <w:rPr>
          <w:vertAlign w:val="baseline"/>
        </w:rPr>
        <w:t xml:space="preserve">dr. Petrik Ferenc</w:t>
      </w:r>
      <w:r>
        <w:rPr>
          <w:vertAlign w:val="baseline"/>
        </w:rPr>
        <w:t xml:space="preserve"> tanulmányában kifejtettekre és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1:4. § (2) bekezdésének a jogsértő mellőzésére. Az </w:t>
      </w:r>
      <w:r>
        <w:rPr>
          <w:vertAlign w:val="baseline"/>
        </w:rPr>
        <w:t xml:space="preserve">ABH</w:t>
      </w:r>
      <w:r>
        <w:rPr>
          <w:vertAlign w:val="baseline"/>
        </w:rPr>
        <w:t xml:space="preserve"> értelmében az alperes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5. § (1)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 szerinti kötelező adatkezelést végez, ezért alkalmazni kell az ezek törlésére vonatkozó előírásokat, mivel megsértette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65. § (1) bekezdését és a 66. § (2) bekezdését.</w:t>
      </w:r>
      <w:r>
        <w:rPr>
          <w:vertAlign w:val="baseline"/>
        </w:rPr>
        <w:t xml:space="preserve"> 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állította: az első-másodfokú bíróság eljárása sérti a bírósági ügyvitel szabályairól szóló </w:t>
      </w:r>
      <w:r>
        <w:rPr>
          <w:vertAlign w:val="baseline"/>
        </w:rPr>
        <w:t xml:space="preserve">14/2002</w:t>
      </w:r>
      <w:r>
        <w:rPr>
          <w:vertAlign w:val="baseline"/>
        </w:rPr>
        <w:t xml:space="preserve">.(VIII.1.) </w:t>
      </w:r>
      <w:r>
        <w:rPr>
          <w:vertAlign w:val="baseline"/>
        </w:rPr>
        <w:t xml:space="preserve">IM.</w:t>
      </w:r>
      <w:r>
        <w:rPr>
          <w:vertAlign w:val="baseline"/>
        </w:rPr>
        <w:t xml:space="preserve"> rendelet 1. § (3) bekezdését és a 2. § 23. pontját is, amely „direkt előírásként félreérthetetlen kötelezést tartalmaz”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előírásainak a megtartására. Hangsúlyozta, hogy az eljárt bíróságok -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346. </w:t>
      </w:r>
      <w:r>
        <w:rPr>
          <w:vertAlign w:val="baseline"/>
        </w:rPr>
        <w:t xml:space="preserve">§ </w:t>
      </w:r>
      <w:r>
        <w:rPr>
          <w:vertAlign w:val="baseline"/>
        </w:rPr>
        <w:t xml:space="preserve">(5) bekezdésébe ütköző módon - szembe helyezkedtek a BH</w:t>
      </w:r>
      <w:r>
        <w:rPr>
          <w:vertAlign w:val="baseline"/>
        </w:rPr>
        <w:t xml:space="preserve">2020.324.</w:t>
      </w:r>
      <w:r>
        <w:rPr>
          <w:vertAlign w:val="baseline"/>
        </w:rPr>
        <w:t xml:space="preserve"> számú döntésben foglaltakkal, amely szerint a bíróságnak a megsértettként állított jogszabályi rendelkezéseket az </w:t>
      </w:r>
      <w:r>
        <w:rPr>
          <w:vertAlign w:val="baseline"/>
        </w:rPr>
        <w:t xml:space="preserve">Alaptörvénnyel,</w:t>
      </w:r>
      <w:r>
        <w:rPr>
          <w:vertAlign w:val="baseline"/>
        </w:rPr>
        <w:t xml:space="preserve"> jelen esetben annak I. cikk (1) bekezdésével és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cikk (3) bekezdésével összhangban kell értelmeznie.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felülvizsgálati ellenkérelmében a jogerős ítélet hatályában fenntartását kérte, annak helyes indokai alapján.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[28]       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423. § (1) bekezdése alapján a joghatályosan előterjesztett felülvizsgálati kérelem keretei között, az abban megjelölt jogszabály tekintetében vizsgálta és ítélte meg a jogerős ítélet jogszabálysértő voltát.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felülvizsgálati kérelem alaptalan a következők szerint.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felülvizsgálati eljárásban a peres felek tényállításaikat az engedményezés, az alperes adatkezelésének 2015. július 21-i nyilvántartásba vétele és a felperessel kapcsolatos okiratokon a nyilvántartási szám feltüntetésének hiánya tárgyában egyezően adták elő. A felperes nem vitatta, hogy a személyes adatait az alperes az engedményezési szerződés (követelésátruházás) óta kezeli. Ezért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felülvizsgálati kérelem alapján azt kellett megítélnie, hogy jogellenes-e az alperes adatkezelése az adminisztratív mulasztások (az adatvédelmi nyilvántartásba vétel késedelmes bejelentése és az adatkezelési nyilvántartási száma feltüntetésének a hiánya) miatt.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Infotv.</w:t>
      </w:r>
      <w:r>
        <w:rPr>
          <w:vertAlign w:val="baseline"/>
        </w:rPr>
        <w:t xml:space="preserve"> 5. § (1)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 szerint személyes adat akkor kezelhető, ha   azt törvény vagy - törvény felhatalmazása alapján, az abban meghatározott körben - helyi önkormányzat rendelete közérdeken alapuló célból elrendeli (a továbbiakban: kötelező adatkezelés).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Infotv.</w:t>
      </w:r>
      <w:r>
        <w:rPr>
          <w:vertAlign w:val="baseline"/>
        </w:rPr>
        <w:t xml:space="preserve"> 6. § (5)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 értelmében, ha a személyes adat felvételére az érintett hozzájárulásával került sor, az adatkezelő a felvett adatokat törvény eltérő rendelkezésének hiányában az adatkezelő vagy harmadik személy jogos érdekének érvényesítése céljából, ha ezen érdek érvényesítése a személyes adatok védelméhez fűződő jog korlátozásával arányban áll, további külön hozzájárulás nélkül, valamint az érintett hozzájárulásának visszavonását követően is kezelheti.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helytállóan indult ki a felek egyező tényállításából: az alperes adatkezelésének jogalapja és célja az engedményezés útján megszerzett követelés és annak érvényesítése. A felperes igényérvényesítésének indokaként megjelöltekből is ez következik: a közjegyző által kiállított végrehajtási záradék alapján folyamatban lévő végrehajtási eljáráshoz (végrehajtási záradék kiállítása) felhasznált személyes adatainak a jogellenes kezelését állította. 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okirattal igazolta (A/4/1), hogy a felügyeleti hatóság </w:t>
      </w:r>
      <w:r>
        <w:rPr>
          <w:vertAlign w:val="baseline"/>
        </w:rPr>
        <w:t xml:space="preserve">szám</w:t>
      </w:r>
      <w:r>
        <w:rPr>
          <w:vertAlign w:val="baseline"/>
        </w:rPr>
        <w:t xml:space="preserve"> számú határozata alapján 2003. július 31-től üzletszerűen végez a hitelintézetekről és pénzügyi vállalkozásokról szóló 2013. évi </w:t>
      </w:r>
      <w:r>
        <w:rPr>
          <w:vertAlign w:val="baseline"/>
        </w:rPr>
        <w:t xml:space="preserve">CCXXXVII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Hpt.</w:t>
      </w:r>
      <w:r>
        <w:rPr>
          <w:vertAlign w:val="baseline"/>
        </w:rPr>
        <w:t xml:space="preserve">)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és a korábban hatályban lévő 1996. évi </w:t>
      </w:r>
      <w:r>
        <w:rPr>
          <w:vertAlign w:val="baseline"/>
        </w:rPr>
        <w:t xml:space="preserve">CXII.</w:t>
      </w:r>
      <w:r>
        <w:rPr>
          <w:vertAlign w:val="baseline"/>
        </w:rPr>
        <w:t xml:space="preserve"> törvény (régi </w:t>
      </w:r>
      <w:r>
        <w:rPr>
          <w:vertAlign w:val="baseline"/>
        </w:rPr>
        <w:t xml:space="preserve">Hpt.</w:t>
      </w:r>
      <w:r>
        <w:rPr>
          <w:vertAlign w:val="baseline"/>
        </w:rPr>
        <w:t xml:space="preserve">) 3. § (1)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 szerinti hitel- és pénzkölcsön nyújtási gazdasági tevékenységet, ez alapján jogosult üzletszerűen követelésvásárlási gazdasági tevékenységet is folytatni, figyelemmel a </w:t>
      </w:r>
      <w:r>
        <w:rPr>
          <w:vertAlign w:val="baseline"/>
        </w:rPr>
        <w:t xml:space="preserve">Hpt.</w:t>
      </w:r>
      <w:r>
        <w:rPr>
          <w:vertAlign w:val="baseline"/>
        </w:rPr>
        <w:t xml:space="preserve"> 292. § (1) bekezdésére is. A </w:t>
      </w:r>
      <w:r>
        <w:rPr>
          <w:vertAlign w:val="baseline"/>
        </w:rPr>
        <w:t xml:space="preserve">Hpt.</w:t>
      </w:r>
      <w:r>
        <w:rPr>
          <w:vertAlign w:val="baseline"/>
        </w:rPr>
        <w:t xml:space="preserve"> 6. § (1) bekezdés 60. és 116. pontjának a fogalom-meghatározása értelmében az alperes az engedményezési szerződést üzletszerű követelésvásárlási tevékenysége körében kötötte. Az adatkezelésének ez a jogalapja, a felperes keresetében törölni kért személyes adatok a </w:t>
      </w:r>
      <w:r>
        <w:rPr>
          <w:vertAlign w:val="baseline"/>
        </w:rPr>
        <w:t xml:space="preserve">Hpt.</w:t>
      </w:r>
      <w:r>
        <w:rPr>
          <w:vertAlign w:val="baseline"/>
        </w:rPr>
        <w:t xml:space="preserve"> hatálya alá tartozó követelésátruházási (az engedményezés is idetartozik) szerződés alapján kerültek az alperes kezelésébe, ideértve a kölcsönszerződést biztosító mellékkötelezettséget (zálogszerződést) is. Az alperesnek mint engedményesnek a követelés érvényesítéséhez szükséges okiratokat az engedményező (átruházó)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2013. évi V. törvény (Ptk.) 6:196. §-a alapján adta át, ezért ez az adatkezelése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6. § (5)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pontján alapul. Erre az adatkezelésre a </w:t>
      </w:r>
      <w:r>
        <w:rPr>
          <w:vertAlign w:val="baseline"/>
        </w:rPr>
        <w:t xml:space="preserve">Hpt.</w:t>
      </w:r>
      <w:r>
        <w:rPr>
          <w:vertAlign w:val="baseline"/>
        </w:rPr>
        <w:t xml:space="preserve"> 161. § (1) bekezdés 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 pontja alapján a banktitokra vonatkozó rendelkezés tilalma a végrehajtási záradékhoz való felhasználásnál azért nem alkalmazandó, mivel az alperes (pénzügyi intézmény) érdeke ezt az ügyféllel (felperessel) szemben fennálló követelése érvényesítéséhez szükségessé teszi. Ezért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egyetértett a másodfokú bírósággal abban, hogy az </w:t>
      </w:r>
      <w:r>
        <w:rPr>
          <w:vertAlign w:val="baseline"/>
        </w:rPr>
        <w:t xml:space="preserve">ABH</w:t>
      </w:r>
      <w:r>
        <w:rPr>
          <w:vertAlign w:val="baseline"/>
        </w:rPr>
        <w:t xml:space="preserve"> jogértelmezése a keresettel érvényesített igény megítélése körében nem irányadó. 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emellett – pénzügyi intézményként – végez kötelező adatkezelést is: a </w:t>
      </w:r>
      <w:r>
        <w:rPr>
          <w:vertAlign w:val="baseline"/>
        </w:rPr>
        <w:t xml:space="preserve">Központi Hitelinformációs Rendszerben</w:t>
      </w:r>
      <w:r>
        <w:rPr>
          <w:vertAlign w:val="baseline"/>
        </w:rPr>
        <w:t xml:space="preserve"> (KHR) nyilvántartott referenciaadatok a </w:t>
      </w:r>
      <w:r>
        <w:rPr>
          <w:vertAlign w:val="baseline"/>
        </w:rPr>
        <w:t xml:space="preserve">Központi Hitelinformációs Rendszerről</w:t>
      </w:r>
      <w:r>
        <w:rPr>
          <w:vertAlign w:val="baseline"/>
        </w:rPr>
        <w:t xml:space="preserve"> szóló 2011. évi </w:t>
      </w:r>
      <w:r>
        <w:rPr>
          <w:vertAlign w:val="baseline"/>
        </w:rPr>
        <w:t xml:space="preserve">CXXII.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KHRtv.</w:t>
      </w:r>
      <w:r>
        <w:rPr>
          <w:vertAlign w:val="baseline"/>
        </w:rPr>
        <w:t xml:space="preserve">) 11. §-a alapján kerültek átadásra az alperes részére, így a </w:t>
      </w:r>
      <w:r>
        <w:rPr>
          <w:vertAlign w:val="baseline"/>
        </w:rPr>
        <w:t xml:space="preserve">KHRtv.</w:t>
      </w:r>
      <w:r>
        <w:rPr>
          <w:vertAlign w:val="baseline"/>
        </w:rPr>
        <w:t xml:space="preserve"> alapján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5. §-a szerinti kötelező adatkezelést is végez. Ennek az adatkezelésének azonban eltérő a célja: a teljes körű hitelnyilvántartás érdekében, elsődlegesen a megalapozott hitelbírálathoz fűződő érdek biztosítása és az állami beavatkozást megalapozó közérdek a lakosság növekvő mértékű eladósodása miatt.</w:t>
      </w:r>
      <w:r>
        <w:rPr>
          <w:vertAlign w:val="baseline"/>
        </w:rPr>
        <w:t xml:space="preserve">  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Amint</w:t>
      </w:r>
      <w:r>
        <w:rPr>
          <w:vertAlign w:val="baseline"/>
        </w:rPr>
        <w:t xml:space="preserve"> azt a másodfokú bíróság is helytállóan megállapította, az alperesnek a követelés érvényesítése körében végzett adatkezelése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6. § (5)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pontján alapul, ezért a felperes törléshez való jogát nem a kötelező adatkezelésre vonatkozó rendelkezések alapján kellett vizsgálni. Az adatkezelőnek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4. § (1) és (2) bekezdésében foglalt célhoz kötöttség, szükségesség és arányosság követelményének kell megfelelnie, valamint rendelkeznie kell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-ben meghatározott jogalapok valamelyikével. Az alperes jogos érdeke a perbeli személyes adatok kezelése révén a zálogtárgyból történő kielégítés, ezért az adatkezelése megfelel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4. § (2) bekezdésében foglaltaknak. A kereset elbírálása körében ezért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5. § (1) bekezdés b) pontjához kapcsolódó kötelező adatkezelésre vonatkozó szabályok nem alkalmazhatóak. 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megítélése szerint önmagában az adminisztratív mulasztások miatt nem jogellenes az alperes adatkezelése.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65. § (1) bekezdése szerint az adatkezelő személyes adatokra vonatkozó adatkezeléseiről, az érintettek tájékozódásának elősegítése érdekében a </w:t>
      </w:r>
      <w:r>
        <w:rPr>
          <w:vertAlign w:val="baseline"/>
        </w:rPr>
        <w:t xml:space="preserve">Hatóság</w:t>
      </w:r>
      <w:r>
        <w:rPr>
          <w:vertAlign w:val="baseline"/>
        </w:rPr>
        <w:t xml:space="preserve"> hatósági nyilvántartást (adatvédelmi nyilvántartás) vezet. A felperes tévesen értelmezte az adatvédelmi hatósághoz történő bejelentés célját és tartalmát. Azon túlmenően, hogy az alperes igazolta, hogy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 nyilvántartásba vette, megalapozatlan az a hivatkozása, hogy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65. §-a alapján az adatvédelmi hatósághoz történő bejelentésnek adatkezelési célonként kellett történnie. Az adatkezelő nyilvántartásba történő bejelentése nem az érintettek konkrét adatainak bejelentésével valósult meg,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jelen perben még alkalmazandó 65. § (1) bekezdése ilyen követelményt nem fogalmazott meg, az érintettekre vonatkozó konkrét személyes adatok leírását nem tartalmazta, nem tartalmazhatta a nyilvántartás, hiszen az bárki számára hozzáférhető nyilvános nyilvántartás volt. 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adatvédelmi nyilvántartási szám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68. § (6) bekezdése értelmében az adatkezelés azonosítására szolgál, nem a nyilvántartásba vett adatkezelés jogszerűségét tanúsítja, ezért a késedelmes bejelentés önmagában nem eredményezi (eredményezheti)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17. § (2) bekezdése szerinti jogkövetkezményt, a személyes adat törlését.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65. § (4) bekezdése értelmében az adatvédelmi nyilvántartás nyilvános, abba bárki betekinthetett, az abban foglaltakról feljegyzést készíthetett. Ezért az alperesnek – a felperes állításával szemben - nem a felperes személyes adataira egyediesített nyilvántartási számot kellett volna feltüntetnie, ilyet ugyanis az adatvédelmi nyilvántartás nem tartalmazott. A felperes sem adott elő olyan tényállítást, hogy az adatvédelmi nyilvántartási szám feltüntetésének hiánya miatt nem tudta azonosítani az alperes adatkezelését, illetve hogy ez a hiányosság korlátozta az érintetti jogainak az érvényesítését.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alaptalanul hivatkozott az </w:t>
      </w:r>
      <w:r>
        <w:rPr>
          <w:vertAlign w:val="baseline"/>
        </w:rPr>
        <w:t xml:space="preserve">EUMSz.</w:t>
      </w:r>
      <w:r>
        <w:rPr>
          <w:vertAlign w:val="baseline"/>
        </w:rPr>
        <w:t xml:space="preserve"> 16. cikkének, az </w:t>
      </w:r>
      <w:r>
        <w:rPr>
          <w:vertAlign w:val="baseline"/>
        </w:rPr>
        <w:t xml:space="preserve">Alapjogi Charta</w:t>
      </w:r>
      <w:r>
        <w:rPr>
          <w:vertAlign w:val="baseline"/>
        </w:rPr>
        <w:t xml:space="preserve"> 8. cikkének és a </w:t>
      </w:r>
      <w:r>
        <w:rPr>
          <w:vertAlign w:val="baseline"/>
        </w:rPr>
        <w:t xml:space="preserve">GDPR</w:t>
      </w:r>
      <w:r>
        <w:rPr>
          <w:vertAlign w:val="baseline"/>
        </w:rPr>
        <w:t xml:space="preserve">-al hatályon kívül helyezett adatvédelmi irányelv 18. cikk (5) bekezdésének és a 32. cikk (2) bekezdésének a megsértésére. Az adatvédelmi nyilvántartás tárgyában ezek sem tartalmaznak olyan rendelkezést, hogy a személyes adatok kezelésének jogalapját a nyilvántartás teremti meg vagy annak hiánya miatt jogellenes az adatkezelés. A felperes érvelése szerint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-nek a </w:t>
      </w:r>
      <w:r>
        <w:rPr>
          <w:vertAlign w:val="baseline"/>
        </w:rPr>
        <w:t xml:space="preserve">GDPR</w:t>
      </w:r>
      <w:r>
        <w:rPr>
          <w:vertAlign w:val="baseline"/>
        </w:rPr>
        <w:t xml:space="preserve"> alkalmazhatósága előtti rendelkezéseit kell alkalmazni a keresete elbírálására, ugyanakkor az adatvédelmi irányelv 18. cikk (5) bekezdése a tagállamokat hatalmazza fel, hogy egyes vagy az összes, személyes adatot érintő, nem automatizált adatfeldolgozási művelet értesítési kötelezettség alá tartozzon, más rendelkezést azonban nem ír elő. Az </w:t>
      </w:r>
      <w:r>
        <w:rPr>
          <w:vertAlign w:val="baseline"/>
        </w:rPr>
        <w:t xml:space="preserve">Alapjogi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Charta</w:t>
      </w:r>
      <w:r>
        <w:rPr>
          <w:vertAlign w:val="baseline"/>
        </w:rPr>
        <w:t xml:space="preserve"> 52. cikke (1) bekezdése első mondatának megfelelően a </w:t>
      </w:r>
      <w:r>
        <w:rPr>
          <w:vertAlign w:val="baseline"/>
        </w:rPr>
        <w:t xml:space="preserve">Chartában</w:t>
      </w:r>
      <w:r>
        <w:rPr>
          <w:vertAlign w:val="baseline"/>
        </w:rPr>
        <w:t xml:space="preserve"> elismert jogok és szabadságok – többek között a </w:t>
      </w:r>
      <w:r>
        <w:rPr>
          <w:vertAlign w:val="baseline"/>
        </w:rPr>
        <w:t xml:space="preserve">Charta</w:t>
      </w:r>
      <w:r>
        <w:rPr>
          <w:vertAlign w:val="baseline"/>
        </w:rPr>
        <w:t xml:space="preserve"> 7. cikkében biztosított, a magánélet tiszteletben tartásához való jog és a </w:t>
      </w:r>
      <w:r>
        <w:rPr>
          <w:vertAlign w:val="baseline"/>
        </w:rPr>
        <w:t xml:space="preserve">Charta</w:t>
      </w:r>
      <w:r>
        <w:rPr>
          <w:vertAlign w:val="baseline"/>
        </w:rPr>
        <w:t xml:space="preserve"> 8. cikkében biztosított, a személyes adatok védelméhez való jog – gyakorlása csak a törvény által korlátozható, amiből különösen az következik, hogy a beavatkozást lehetővé tevő jogalapnak magának kell meghatároznia az érintett jog gyakorlását érintő korlátozás terjedelmét (lásd ebben az értelemben: 2020. október 6‑i </w:t>
      </w:r>
      <w:r>
        <w:rPr>
          <w:vertAlign w:val="baseline"/>
        </w:rPr>
        <w:t xml:space="preserve">Privacy International</w:t>
      </w:r>
      <w:r>
        <w:rPr>
          <w:vertAlign w:val="baseline"/>
        </w:rPr>
        <w:t xml:space="preserve"> ítélet, C‑</w:t>
      </w:r>
      <w:r>
        <w:rPr>
          <w:vertAlign w:val="baseline"/>
        </w:rPr>
        <w:t xml:space="preserve">623/17,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EU</w:t>
      </w:r>
      <w:r>
        <w:rPr>
          <w:vertAlign w:val="baseline"/>
        </w:rPr>
        <w:t xml:space="preserve">:C:2020:790, 65. pont, valamint az ott hivatkozott ítélkezési gyakorlat), ilyen korlátozást a nyilvántartási számhoz kapcsolódóan a felperes sem jelent meg és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sem tartalmaz.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Pfv.IV.21.425/2019/5</w:t>
      </w:r>
      <w:r>
        <w:rPr>
          <w:vertAlign w:val="baseline"/>
        </w:rPr>
        <w:t xml:space="preserve">. számú hivatkozott határozata a jelen perben nem irányadó, miután abban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más jogértelmezési kérdésben foglalt állást. Abban az ügyben a peres felek között nem volt vitatott, hogy az alperes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5. § (1) bekezdése szerinti kötelező adatkezelést végez,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kötelmi jogvitához kapcsolódó elévülési kifogások tárgyában kellett döntenie. 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helytállóan értékelte azt is, hogy mivel az adatkezelési nyilvántartási szám – a </w:t>
      </w:r>
      <w:r>
        <w:rPr>
          <w:vertAlign w:val="baseline"/>
        </w:rPr>
        <w:t xml:space="preserve">GDPR</w:t>
      </w:r>
      <w:r>
        <w:rPr>
          <w:vertAlign w:val="baseline"/>
        </w:rPr>
        <w:t xml:space="preserve"> 2018. május 25-i alkalmazhatóságát követően – megszűnt,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erre vonatkozó rendelkezését hatályon kívül helyezték, a már hatályon kívül helyezett jogszabályra hivatkozással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17. §-a, a 66. §-a és a 68. §-a alapján a törléshez való jog nem érvényesíthető. A törléshez való jog célja a jogellenes adatkezelés megszüntetése, ezért az olyan adminisztratív hiányosság miatt, amelyet az erre vonatkozó igény előterjesztésekor már a jogszabály nem ír elő, nem eredményezi az adatkezelő törlési kötelezettségét. Az alperes adatkezelési tevékenységéhez kapcsolódott az adat a </w:t>
      </w:r>
      <w:r>
        <w:rPr>
          <w:vertAlign w:val="baseline"/>
        </w:rPr>
        <w:t xml:space="preserve">NAIH</w:t>
      </w:r>
      <w:r>
        <w:rPr>
          <w:vertAlign w:val="baseline"/>
        </w:rPr>
        <w:t xml:space="preserve">-hoz tett adatkezelés nyilvántartásba vételi kötelezettsége, amely azzal is összefüggésben állt, hogy a </w:t>
      </w:r>
      <w:r>
        <w:rPr>
          <w:vertAlign w:val="baseline"/>
        </w:rPr>
        <w:t xml:space="preserve">Hpt.</w:t>
      </w:r>
      <w:r>
        <w:rPr>
          <w:vertAlign w:val="baseline"/>
        </w:rPr>
        <w:t xml:space="preserve"> alapján az alperes mint pénzügyi intézmény kötelező adatkezelést is végez.</w:t>
      </w:r>
    </w:p>
    <w:p>
      <w:pPr>
        <w:jc w:val="both"/>
      </w:pPr>
      <w:r>
        <w:rPr>
          <w:vertAlign w:val="baseline"/>
        </w:rPr>
        <w:t xml:space="preserve">[42]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felülvizsgálati érvelésével szemben a jogerős ítélet nem sérti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346. § (4) és (5) bekezdését. A másodfokú bíróság a felperes keresetének elbírálásához szükséges mértékben vizsgálta a hivatkozásait és indokolta meg érdemi döntését.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1:4. § (2) bekezdése,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alapján a kártérítési jogban a jogellenesség megítélésére vonatkozó rendelkezések alkalmazása pedig nem merül fel. 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, és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is oltalmazza - a személyes adatok védelme útján - a személyiséget, azonban ezt más szempontból szabályozza, a védelmi körök terjedelme is különböző,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és az </w:t>
      </w:r>
      <w:r>
        <w:rPr>
          <w:vertAlign w:val="baseline"/>
        </w:rPr>
        <w:t xml:space="preserve">Infotv.</w:t>
      </w:r>
      <w:r>
        <w:rPr>
          <w:vertAlign w:val="baseline"/>
        </w:rPr>
        <w:t xml:space="preserve"> személyi és tárgyi hatályával áll összhangban.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Büsz.</w:t>
      </w:r>
      <w:r>
        <w:rPr>
          <w:vertAlign w:val="baseline"/>
        </w:rPr>
        <w:t xml:space="preserve"> 1. § (3) bekezdésének megsértése körében kifejtett felülvizsgálati hivatkozás pedig a bírósági ügyvitelre vonatkozó miniszteri rendelet téves jogértelmezésén alapul. </w:t>
      </w:r>
    </w:p>
    <w:p>
      <w:pPr>
        <w:jc w:val="both"/>
      </w:pPr>
      <w:r>
        <w:rPr>
          <w:vertAlign w:val="baseline"/>
        </w:rPr>
        <w:t xml:space="preserve">[43]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eljárt bíróságok a jogellenes adatkezelés hiányát a per tárgyalása során megismert bizonyítékoknak és egyéb peradatoknak az egybevetése, egyenként és összességében történő értékelése – a felek egyező tényállításai alapján – meggyőződése szerint állapította meg. A felperes által megjelölt okok miatt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279. § -ának megsértése nem állapítható meg. </w:t>
      </w:r>
      <w:r>
        <w:rPr>
          <w:vertAlign w:val="baseline"/>
        </w:rPr>
        <w:t xml:space="preserve">Kiemeli a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hogy a felülvizsgálati eljárás mint rendkívüli perorvoslati eljárás során általában nem vizsgálható a bíróság mérlegelési körébe tartozó tényállás, és nincs lehetőség a bizonyítás adatainak újabb egybevetésére és értékelésre.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csak azt vizsgálja, hogy az eljárt bíróság a mérlegelés körébe vont adatok, bizonyítékok megállapítása és azok egybevetése során nem jutott-e nyilvánvalóan helytelen és okszerűtlen következtetésre. Csak az minősíthető nyilvánvalóan okszerűtlen következtetésnek, ha a bizonyítékokból csak egyfajta, a felülvizsgálattal támadott ítélettől eltérő következtetésre lehet jutni. A bizonyítékok okszerűtlen mérlegelésének hiányában a bizonyítékok felülmérlegelésére a felülvizsgálati eljárásban nincs lehetőség.</w:t>
      </w:r>
    </w:p>
    <w:p>
      <w:pPr>
        <w:jc w:val="both"/>
      </w:pPr>
      <w:r>
        <w:rPr>
          <w:vertAlign w:val="baseline"/>
        </w:rPr>
        <w:t xml:space="preserve">[44]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 jogerős ítélet nem sérti a felülvizsgálati kérelem alapján vizsgált jogszabályokat, ezért azt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424. § (3) bekezdése alapján hatályában fenntartotta.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alkalmazott jogszabályok és az alkalmazott joggyakorlat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[45]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(Pp.) 279. § (1) bekezdés, 346. § (4)–(5) bekezdés</w:t>
      </w:r>
    </w:p>
    <w:p>
      <w:pPr>
        <w:jc w:val="both"/>
      </w:pPr>
      <w:r>
        <w:rPr>
          <w:vertAlign w:val="baseline"/>
        </w:rPr>
        <w:t xml:space="preserve">[46]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2011. évi </w:t>
      </w:r>
      <w:r>
        <w:rPr>
          <w:vertAlign w:val="baseline"/>
        </w:rPr>
        <w:t xml:space="preserve">CXXII.</w:t>
      </w:r>
      <w:r>
        <w:rPr>
          <w:vertAlign w:val="baseline"/>
        </w:rPr>
        <w:t xml:space="preserve"> törvény</w:t>
      </w:r>
      <w:r>
        <w:rPr>
          <w:vertAlign w:val="baseline"/>
        </w:rPr>
        <w:t xml:space="preserve"> (Infotv.) 4. § (1) bekezdés, 5. § (1)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pont, a 17. § (2)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 pont, a 65. § (1) bekezdés, 66. § (2) bekezdés, 68. § (6) bekezdés</w:t>
      </w:r>
    </w:p>
    <w:p>
      <w:pPr>
        <w:jc w:val="both"/>
      </w:pPr>
      <w:r>
        <w:rPr>
          <w:vertAlign w:val="baseline"/>
        </w:rPr>
        <w:t xml:space="preserve">[47]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Alaptörvény VI.</w:t>
      </w:r>
      <w:r>
        <w:rPr>
          <w:vertAlign w:val="baseline"/>
        </w:rPr>
        <w:t xml:space="preserve"> cikk (3) bekezdés, 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I. cikk (1) bekezdés</w:t>
      </w:r>
    </w:p>
    <w:p>
      <w:pPr>
        <w:jc w:val="both"/>
      </w:pPr>
      <w:r>
        <w:rPr>
          <w:vertAlign w:val="baseline"/>
        </w:rPr>
        <w:t xml:space="preserve">[48]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Európai Parlament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Tanács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95/46/EK</w:t>
      </w:r>
      <w:r>
        <w:rPr>
          <w:vertAlign w:val="baseline"/>
        </w:rPr>
        <w:t xml:space="preserve"> irányelve (1995. október 24.) 18. cikk (5) bekezdés, a 32. cikk (2) bekezdés</w:t>
      </w:r>
    </w:p>
    <w:p>
      <w:pPr>
        <w:jc w:val="both"/>
      </w:pPr>
      <w:r>
        <w:rPr>
          <w:vertAlign w:val="baseline"/>
        </w:rPr>
        <w:t xml:space="preserve">[49]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Európai Unió Működéséről</w:t>
      </w:r>
      <w:r>
        <w:rPr>
          <w:vertAlign w:val="baseline"/>
        </w:rPr>
        <w:t xml:space="preserve"> szóló szerződés (EUMSz) 16. cikk (1) bekezdés</w:t>
      </w:r>
    </w:p>
    <w:p>
      <w:pPr>
        <w:jc w:val="both"/>
      </w:pPr>
      <w:r>
        <w:rPr>
          <w:vertAlign w:val="baseline"/>
        </w:rPr>
        <w:t xml:space="preserve">[50]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Európai Unió Alapjogi Chartája</w:t>
      </w:r>
      <w:r>
        <w:rPr>
          <w:vertAlign w:val="baseline"/>
        </w:rPr>
        <w:t xml:space="preserve"> 8. cikk (1) bekezdés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döntés elvi tartalma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[51]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adatvédelmi nyilvántartási szám az adatkezelés azonosítására szolgál, nem tanúsítja a nyilvántartásba vett adatkezelés jogszerűségét, ezért a nyilvántartásba vétel késedelmes bejelentése miatt nem kérhető a személyes adat törlése.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[52]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felülvizsgálati kérelme alaptalan volt, ezért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83. § (1) bekezdése alapján a felperest kötelezte az alperes által felszámított, az ügyvédi képviseletével felmerült és a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 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2. § (1) és a 4/A. § (1) bekezdése alapján megállapított és a 2. § (2) bekezdése szerint a kifejtett tevékenységgel arányban mérsékelt felülvizsgálati eljárási költségének a megfizetésére.</w:t>
      </w:r>
    </w:p>
    <w:p>
      <w:pPr>
        <w:jc w:val="both"/>
      </w:pPr>
      <w:r>
        <w:rPr>
          <w:vertAlign w:val="baseline"/>
        </w:rPr>
        <w:t xml:space="preserve">[53]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eljárás az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 57. § (1) bekezdés </w:t>
      </w:r>
      <w:r>
        <w:rPr>
          <w:i/>
          <w:vertAlign w:val="baseline"/>
        </w:rPr>
        <w:t xml:space="preserve">o)</w:t>
      </w:r>
      <w:r>
        <w:rPr>
          <w:vertAlign w:val="baseline"/>
        </w:rPr>
        <w:t xml:space="preserve"> pontja alapján illetékmentes.</w:t>
      </w:r>
    </w:p>
    <w:p>
      <w:pPr>
        <w:jc w:val="both"/>
      </w:pPr>
      <w:r>
        <w:rPr>
          <w:vertAlign w:val="baseline"/>
        </w:rPr>
        <w:t xml:space="preserve">[54]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felperes felülvizsgálati kérelmét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405. § (1) bekezdése alapján megfelelően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376. § (1) bekezdése alapján tárgyaláson kívül bírálta el.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2022. november 9.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Kovács Zsuzsanna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Dzsula Marianna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Böszörményiné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Kovács Katalin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IV.Pfv.20.350/2022/5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