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666525" w:rsidR="001E0961" w:rsidSect="00FA2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Gfv.VI.30.058/2022/9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</w:t>
      </w: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Dr. Tibold Ágnes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...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Szabó István Tamás Ügyvédi Iroda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dr. Szabó István Tamás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alperesek: ...</w:t>
      </w:r>
      <w:r>
        <w:rPr>
          <w:vertAlign w:val="baseline"/>
        </w:rPr>
        <w:t xml:space="preserve"> I. rendű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...</w:t>
      </w:r>
      <w:r>
        <w:rPr>
          <w:vertAlign w:val="baseline"/>
        </w:rPr>
        <w:t xml:space="preserve"> II. rendű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II.</w:t>
      </w:r>
      <w:r>
        <w:rPr>
          <w:b/>
          <w:vertAlign w:val="baseline"/>
        </w:rPr>
        <w:t xml:space="preserve"> rendű alperes képviselője: </w:t>
      </w:r>
      <w:r>
        <w:rPr>
          <w:vertAlign w:val="baseline"/>
        </w:rPr>
        <w:t xml:space="preserve">Dr. Koncz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Társai Ügyvédi Iroda</w:t>
      </w:r>
      <w:r>
        <w:rPr>
          <w:vertAlign w:val="baseline"/>
        </w:rPr>
        <w:t xml:space="preserve"> (ügyintéző: </w:t>
      </w:r>
      <w:r>
        <w:rPr>
          <w:vertAlign w:val="baseline"/>
        </w:rPr>
        <w:t xml:space="preserve">dr. Koncz Nikolette</w:t>
      </w:r>
      <w:r>
        <w:rPr>
          <w:vertAlign w:val="baseline"/>
        </w:rPr>
        <w:t xml:space="preserve"> ügyvéd)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per tárgya: </w:t>
      </w:r>
      <w:r>
        <w:rPr>
          <w:vertAlign w:val="baseline"/>
        </w:rPr>
        <w:t xml:space="preserve">kölcsöntartozás megfizetése</w:t>
      </w:r>
      <w:r>
        <w:rPr>
          <w:vertAlign w:val="baseline"/>
        </w:rPr>
        <w:t xml:space="preserve">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Székesfehérvári Törvényszék,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1.Pf.107/2021/6</w:t>
      </w:r>
      <w:r>
        <w:rPr>
          <w:vertAlign w:val="baseline"/>
        </w:rPr>
        <w:t xml:space="preserve">. számú ítélet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 </w:t>
      </w:r>
      <w:r>
        <w:rPr>
          <w:vertAlign w:val="baseline"/>
        </w:rPr>
        <w:t xml:space="preserve">Székesfehérvári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2.P.21.494/2020/16</w:t>
      </w:r>
      <w:r>
        <w:rPr>
          <w:vertAlign w:val="baseline"/>
        </w:rPr>
        <w:t xml:space="preserve">. számú ítélet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jogerős ítéletet a felülvizsgálati kérelemmel támadott részében hatályon kívül helyezi és az elsőfokú bíróság ítéletének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alperessel szemben előterjesztett keresetet elutasító rendelkezését helybenhagyja.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Kötelezi a felperest, hogy 15 napon belül fizessen meg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alperesnek </w:t>
      </w:r>
      <w:r>
        <w:rPr>
          <w:vertAlign w:val="baseline"/>
        </w:rPr>
        <w:t xml:space="preserve">317.500</w:t>
      </w:r>
      <w:r>
        <w:rPr>
          <w:vertAlign w:val="baseline"/>
        </w:rPr>
        <w:t xml:space="preserve"> (háromszáztizenhétezer-ötszáz) forint felülvizsgálati eljárási költséget, továbbá az államnak – felhívásra – </w:t>
      </w:r>
      <w:r>
        <w:rPr>
          <w:vertAlign w:val="baseline"/>
        </w:rPr>
        <w:t xml:space="preserve">2.785.300</w:t>
      </w:r>
      <w:r>
        <w:rPr>
          <w:vertAlign w:val="baseline"/>
        </w:rPr>
        <w:t xml:space="preserve"> (kétmillióhétszáznyolcvanötezer-háromszáz) forint felülvizsgálati eljárási illetéket.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E..... B.... H...... Nyrt.</w:t>
      </w:r>
      <w:r>
        <w:rPr>
          <w:vertAlign w:val="baseline"/>
        </w:rPr>
        <w:t xml:space="preserve"> mint hitelező 2007. november 7-én deviza alapú kölcsönszerződést kötött az alperesekkel mint adóstársakkal. Ennek keretében az alperesek részére </w:t>
      </w:r>
      <w:r>
        <w:rPr>
          <w:vertAlign w:val="baseline"/>
        </w:rPr>
        <w:t xml:space="preserve">152.396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kölcsönt nyújtott ingatlanvásárlásás céljából.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alperesek késedelmére tekintettel a hitelező a kölcsönszerződést felmondta, az ezt tartalmazó írásbeli értesítést az alperesek 2010. október 13-án vették át.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hitelező 2015. április 10-én elkészítette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pénzügyi intézmények fogyasztói kölcsönszerződéseire vonatkozó jogegységi határozatával kapcsolatos egyes kérdések rendezéséről szóló 2014. évi </w:t>
      </w:r>
      <w:r>
        <w:rPr>
          <w:vertAlign w:val="baseline"/>
        </w:rPr>
        <w:t xml:space="preserve">XXXVIII</w:t>
      </w:r>
      <w:r>
        <w:rPr>
          <w:vertAlign w:val="baseline"/>
        </w:rPr>
        <w:t xml:space="preserve">. törvényben rögzített elszámolás szabályairól és egyes egyéb rendelkezésekről szóló 2014. évi </w:t>
      </w:r>
      <w:r>
        <w:rPr>
          <w:vertAlign w:val="baseline"/>
        </w:rPr>
        <w:t xml:space="preserve">XL.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2 tv.) szerinti elszámolást, amelyet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részére kézbesített.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hitelező a perbeli kölcsönszerződésből eredő követelését a felperesre engedményezte. A felperes 2016. november 15. napján kelt levelében értesítette az alpereseket az engedményezésről. Tájékoztatta őket fennálló tartozásuk összegéről, és felhívta őket a tartozás kiegyenlítésére.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kereseti kérelem és az alperes védekezése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2020. május 18-én fizetési meghagyás kibocsátása iránti kérelmet nyújtott be a </w:t>
      </w:r>
      <w:r>
        <w:rPr>
          <w:vertAlign w:val="baseline"/>
        </w:rPr>
        <w:t xml:space="preserve">Magyar Országos Közjegyzői Kamarához,</w:t>
      </w:r>
      <w:r>
        <w:rPr>
          <w:vertAlign w:val="baseline"/>
        </w:rPr>
        <w:t xml:space="preserve"> amelyben az alpereseket egyetemlegesen </w:t>
      </w:r>
      <w:r>
        <w:rPr>
          <w:vertAlign w:val="baseline"/>
        </w:rPr>
        <w:t xml:space="preserve">27.835.297</w:t>
      </w:r>
      <w:r>
        <w:rPr>
          <w:vertAlign w:val="baseline"/>
        </w:rPr>
        <w:t xml:space="preserve"> forint tőke és késedelmi kamatai megfizetésére kérte kötelezni. Az alperesek ellentmondása folytán perré alakult eljárásban a felperes a fizetési meghagyásos eljárásban előterjesztett követelését kereseti kérelemként fenntartotta.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alperesek a követelés elévülésére hivatkozással a kereset elutasítását kérték.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Az első- és másodfokú ítélet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elsőfokú bíróság ítéletével a keresetet elutasította.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döntését arra alapította, hogy a 2015. április 10-én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alperesnek megküldött tájékoztató levél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(a továbbiakban: rPtk.) 327. § (1) bekezdése szerinti tartalmi követelményeknek nem felel meg. Abban a hitelező pusztán a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2 tv. 6. § (1) bekezdése alapján őt terhelő elszámolási kötelezettségének tett eleget, a levélből a követelés érvényesítésére irányuló szándék azonban nem tűnik ki.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fellebbezése folytán eljárt másodfokú bíróság ítéletével az elsőfokú ítéletet részben megváltoztatta, és kötelezte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alperest, hogy fizessen meg a felperesnek 15 nap alatt </w:t>
      </w:r>
      <w:r>
        <w:rPr>
          <w:vertAlign w:val="baseline"/>
        </w:rPr>
        <w:t xml:space="preserve">27.835.297</w:t>
      </w:r>
      <w:r>
        <w:rPr>
          <w:vertAlign w:val="baseline"/>
        </w:rPr>
        <w:t xml:space="preserve"> forint tőkét, ennek 2011. február 4. napjától 2020. május 14. napjáig járó </w:t>
      </w:r>
      <w:r>
        <w:rPr>
          <w:vertAlign w:val="baseline"/>
        </w:rPr>
        <w:t xml:space="preserve">24.301.769</w:t>
      </w:r>
      <w:r>
        <w:rPr>
          <w:vertAlign w:val="baseline"/>
        </w:rPr>
        <w:t xml:space="preserve"> forint késedelmi kamatát, a tőke után 2020. május 15. napjától a kifizetésig járó évi 12,885 % késedelmi kamatát, valamint </w:t>
      </w:r>
      <w:r>
        <w:rPr>
          <w:vertAlign w:val="baseline"/>
        </w:rPr>
        <w:t xml:space="preserve">6.378.133</w:t>
      </w:r>
      <w:r>
        <w:rPr>
          <w:vertAlign w:val="baseline"/>
        </w:rPr>
        <w:t xml:space="preserve"> forint első- és másodfokú perköltséget. Ezt meghaladón az elsőfokú ítéletet helybenhagyta.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egyetértett az elsőfokú bíróság álláspontjával abban, hogy az I. rendű alperessel szemben a felperes követelésének elévülése 2015. október 13-án bekövetkezett, így vele szemben a kereset elutasítása helytálló volt. Úgy ítélte meg ugyanakkor, hogy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alperessel szemben előterjesztett keresetet az elsőfokú bíróság téves jogi következtetéssel utasította 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kifejtette, a keresettel érvényesített követelés alapja svájci frank alapú fogyasztó kölcsönszerződés volt, amely tekintetében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pénzügyi intézmények fogyasztói kölcsönszerződéseire vonatkozó jogegységi határozatával kapcsolatos egyes kérdések rendezéséről szóló 2014. évi </w:t>
      </w:r>
      <w:r>
        <w:rPr>
          <w:vertAlign w:val="baseline"/>
        </w:rPr>
        <w:t xml:space="preserve">XXXVIII</w:t>
      </w:r>
      <w:r>
        <w:rPr>
          <w:vertAlign w:val="baseline"/>
        </w:rPr>
        <w:t xml:space="preserve">. törvény (DH1 tv.) 1. § (7) bekezdése alapján az elévülés nyugvása következett be a törvény hatályba lépésével, azaz 2014. július 19. napjával, amely a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2 tv. 9. §-a értelmében az e törvény szerinti elszámolásnak a fogyasztóval való közlése napjáig, de legkésőbb 2015. december 31-ig tartott.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Rögzítette,</w:t>
      </w:r>
      <w:r>
        <w:rPr>
          <w:vertAlign w:val="baseline"/>
        </w:rPr>
        <w:t xml:space="preserve"> az elévülés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alperessel szemben is 2010. október 13. napjával kezdődött meg, az engedményezésről szóló értesítőlevél 2016. november 15. napján történő átvételét az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nevében is eljáró I. rendű alperes elismerte.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Ebből</w:t>
      </w:r>
      <w:r>
        <w:rPr>
          <w:vertAlign w:val="baseline"/>
        </w:rPr>
        <w:t xml:space="preserve"> adódóan azt vizsgálta, hogy a devizatörvények szerinti elszámolási értesítő az elévülést megszakította-e, figyelemmel arra, hogy ezen irat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általi átvételét az alperesek nem vitatták. Az átvétel időpontja tekintetében a felek nyilatkozatot nem tettek, ezért úgy tekintette, hogy az átvétel a devizaelszámolást tartalmazó levél 2015. április 15. napi időpontjához képest a szokásos postai időtartam mellett 2015. április hónapban történt.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elszámolás közlésének joghatása tekintetében – az elsőfokú bíróság álláspontjától eltérően – a másodfokú bíróság azt állapította meg, hogy az megfelelt az elévülés megszakítását eredményező fizetési felszólítás feltételeinek, mivel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tartalmazta azt a jogviszonyt, amelyből a tartozás keletkezett, tartalmazta azt is, hogy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alperesnek lejárt tartozása van, és ennek pontos összegét is megjelölte. Ezért a devizatörvények szerinti elszámolólevél az rPtk. 327. § (1) bekezdése szerinti fizetési felszólításnak tekintendő, amely az elévülést megszakította. Ebből adódóan az elévülés 2015. május 1. napjával újra indult, majd azt ismételten megszakította a felperesnek az engedményezésről szóló értesítést tartalmazó írásbeli levele 2016. november 15-én. Ezen időponthoz képest a perindítás 2020. május 18-án, a fizetési meghagyásos eljárás megindítását célzó kérelem benyújtásával az 5 éves elévülési időn belül történt, így a felperes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alperessel szembeni keresete nem évült el, a felperes az igényét az elévülési időn belül érvényesítette.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A felülvizsgálati kérelem és ellenkérelem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felülvizsgálati kérelmében a jogerős ítélet hatályon kívül helyezését és – tartalma szerint – az elsőfokú bíróság ítéletének helybenhagyását, másodlagosan a másodfokú bíróság új eljárásra és új határozat hozatalára utasítását kérte. Perköltségként az első-, másodfokú és a felülvizsgálati eljárásban felmerült költségei megtérítésére tartott igényt. Állította, hogy a jogerős ítélet az rPtk. </w:t>
      </w:r>
      <w:r>
        <w:rPr>
          <w:vertAlign w:val="baseline"/>
        </w:rPr>
        <w:t xml:space="preserve">324-327.</w:t>
      </w:r>
      <w:r>
        <w:rPr>
          <w:vertAlign w:val="baseline"/>
        </w:rPr>
        <w:t xml:space="preserve"> §-ba, 329. § (2) bekezdésébe, </w:t>
      </w:r>
      <w:r>
        <w:rPr>
          <w:vertAlign w:val="baseline"/>
        </w:rPr>
        <w:t xml:space="preserve">337-338.</w:t>
      </w:r>
      <w:r>
        <w:rPr>
          <w:vertAlign w:val="baseline"/>
        </w:rPr>
        <w:t xml:space="preserve"> §-ba ütközik.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Érdemben</w:t>
      </w:r>
      <w:r>
        <w:rPr>
          <w:vertAlign w:val="baseline"/>
        </w:rPr>
        <w:t xml:space="preserve"> arra hivatkozott, hogy az elsőfokú bíróság vonta le a helyes jogi következtetést, amikor úgy foglalt állást, hogy a 2015. április 10-én küldött tájékoztató levél az elévülés megszakításához szükséges minimális tartalmi követelményeknek nem felelt meg, így nem alkalmas a felperes által kért jogkövetkezményt levonására, joghatás kiváltására. A hitelező a kölcsönszerződés felmondása és az engedményezésről való értesítés között eltelt 5 évet meghaladó időszakban az elévülés megszakadásához vezető intézkedést nem tett, így a követelése mindkét alperes vonatkozásában elévült, bírósági úton nem érvényesíthető.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hangsúlyozta, a másodfokú bíróság által megállapított perköltség erősen eltúlzott, így annak mérséklését kérte abban az esetben, ha a felülvizsgálati kérelme érdemben nem vezetne eredményre.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felülvizsgálati ellenkérelmében a jogerős ítélet hatályában fenntartását kérte a jogerős ítélet helytálló indokaira hivatkozással.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 polgári perrendtartásról szóló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423. § (1) bekezdése alapján a felülvizsgálati kérelem keretei között vizsgálta, és azt az abban megjelölt okból jogszabálysértőnek találta.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felülvizsgálati kérelem alapján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kizárólag abban a kérdésben kellett állást foglalnia, hogy a hitelező által a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2 tv. szerinti elszámolás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részére történő megküldése megszakította-e a kölcsönszerződés felmondásából eredő lejárt követelés elévülését, az elszámolás az rPtk. 327. § (1) bekezdése szerint a követelés teljesítésére irányuló írásbeli felszólításnak minősül-e.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álláspontját osztotta az alábbi indokok alapján.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Amint</w:t>
      </w:r>
      <w:r>
        <w:rPr>
          <w:vertAlign w:val="baseline"/>
        </w:rPr>
        <w:t xml:space="preserve"> azt a másodfokú bíróság is kiemelte, a perbeli kölcsönszerződésre irányadó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1 tv. 1. § (7) bekezdése és a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2 tv. 9. §-a értelmében az elévülés nyugvása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vonatkozásában az elszámolás közlésével 2015. áprilisában befejeződött, az elévülés 2015. május 1-től tovább folyt.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Ebben</w:t>
      </w:r>
      <w:r>
        <w:rPr>
          <w:vertAlign w:val="baseline"/>
        </w:rPr>
        <w:t xml:space="preserve"> az időpontban a 2010. október 13-án kezdődött ötéves elévülési időtartamból kevesebb volt hátra, mint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326. § (2) bekezdése által biztosított egy év, ezért a hitelező az igényét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alperessel szemben ettől számított egy éven belül 2016. április 30-ig érvényesíthette volna bíróság előtt.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a törvény szerinti elszámolás megküldésének azonban kettős joghatást tulajdonított, egyrészt a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2 tv. 9. §-a szerint az elévülés nyugvását megszüntető joghatást (a jogerős ítélet [22] pontja), másrészt az elévülést megszakító joghatást az rPtk. 327. § (1) bekezdése alapján (jogerős ítélet [25] pont).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álláspontja szerint a devizatörvények hivatkozott rendelkezései – amelyek a pénzügyi intézmény elszámolási kötelezettségét, annak határidejét a deviza alapú kölcsönszerződésekből eredő követelések nyugvása megszűnéseként és nem az elévülés megszakításaként szabályozzák – fogalmilag kizárják, hogy a hitelező elszámolása egyben az rPtk. 327. § (1) bekezdése szerint olyan nyilatkozatnak is minősüljön, amely az elévülést megszakítja. Ezzel azonosan foglalt állást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Gfv.VI.30.430/2021/6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számú ítéletében is.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elszámolás fenti, az elévülésre kiható jogi jellege mellett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– az elsőfokú bíróság álláspontjával egyezően – azt tartalmában sem ítélte olyannak, ami megfelel a követelés teljesítésére irányuló írásbeli felszólításnak. Egyetértett az elsőfokú ítéletben írtakkal, miszerint abban a hitelező pusztán a </w:t>
      </w:r>
      <w:r>
        <w:rPr>
          <w:vertAlign w:val="baseline"/>
        </w:rPr>
        <w:t xml:space="preserve">DH</w:t>
      </w:r>
      <w:r>
        <w:rPr>
          <w:vertAlign w:val="baseline"/>
        </w:rPr>
        <w:t xml:space="preserve">2 tv. 6. § (1) bekezdése alapján őt terhelő kötelezettségének tett eleget, abból a követelés érvényesítésére irányuló szándék, a teljesítésre vonatkozó felszólítás nem tűnik ki. Az abban adott tájékoztatás semmiben nem haladta meg a devizatörvények (beleértve a 2014. évi </w:t>
      </w:r>
      <w:r>
        <w:rPr>
          <w:vertAlign w:val="baseline"/>
        </w:rPr>
        <w:t xml:space="preserve">LXXVII</w:t>
      </w:r>
      <w:r>
        <w:rPr>
          <w:vertAlign w:val="baseline"/>
        </w:rPr>
        <w:t xml:space="preserve">. törvényt is) és a pénzügyi intézmények fogyasztói kölcsönszerződéseinek érvénytelen szerződéses kikötéseire tekintettel szükséges elszámolás módszertanának általános és különös szabályairól rendelkező </w:t>
      </w:r>
      <w:r>
        <w:rPr>
          <w:vertAlign w:val="baseline"/>
        </w:rPr>
        <w:t xml:space="preserve">42/2014</w:t>
      </w:r>
      <w:r>
        <w:rPr>
          <w:vertAlign w:val="baseline"/>
        </w:rPr>
        <w:t xml:space="preserve">. (XI. 7.)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rendelet és </w:t>
      </w:r>
      <w:r>
        <w:rPr>
          <w:vertAlign w:val="baseline"/>
        </w:rPr>
        <w:t xml:space="preserve">54/2014</w:t>
      </w:r>
      <w:r>
        <w:rPr>
          <w:vertAlign w:val="baseline"/>
        </w:rPr>
        <w:t xml:space="preserve">. (XII. 10.) </w:t>
      </w:r>
      <w:r>
        <w:rPr>
          <w:vertAlign w:val="baseline"/>
        </w:rPr>
        <w:t xml:space="preserve">MNB</w:t>
      </w:r>
      <w:r>
        <w:rPr>
          <w:vertAlign w:val="baseline"/>
        </w:rPr>
        <w:t xml:space="preserve"> rendelet által előírt kötelező tartalmat, ami többek között kiterjedt a késedelemmel érintett követelésrészre (hátralékra), azaz a lejárt tartozásra is, így annak feltüntetése a jogszabályi kötelezettség teljesítését jelentette. Az alperesek lejárt tartozásának megfizetésére, annak határidejére vonatkozó felszólítást, a teljesítés elmaradásának jogkövetkezményére történő figyelmeztetést az elszámolási értesítő nem tartalmazott, erre tekintettel a lejárt tartozás tényének és összegének jogszabályban előírt megjelölése elégtelen ahhoz, hogy az fizetési felszólításnak minősüljön.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elévülés megszakításának hiányában a hitelező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alperessel szemben fennálló követelése legkésőbb 2016. április 30-án, a nyugvás megszűnését követő egy év elteltével elévült, a 2016. november 15-én megküldött engedményezési értesítő ez elévülési idő lejártát követően érkezett meg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alpereshez.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Az elévült követelést bírósági úton érvényesíteni nem lehet [rPtk. 325. § (1) bekezdés], ezért jogszabálysértő a jogerős ítélet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alperest marasztaló rendelkezése.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mindezekre tekintettel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(3) bekezdése alapján a rendelkező rész szerint határozott.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felülvizsgálati kérelme eredményesnek bizonyult, ezért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405. § (1) bekezdése és 364. §-a folytán alkalmazandó 83. § (1) bekezdése alapján a felperes köteles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felülvizsgálati eljárási költségének megfizetésére, amelyet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(2) bekezdés b) pontja, (5) és (6) bekezdése alapján állapított meg, ugyanezen jogszabályhely 4/A. § (1) bekezdése alapján az áfát is magában foglaló, a jogi képviselet munkaigényével arányos, mérsékelt összegben. Alaptalanul igényelt ugyanakkor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perköltséget az első- és másodfokú eljárás vonatkozásában, mivel az eljárás ezen szakaszaiban a felperesre áthárítható perköltsége nem merült fel. Az alperesek jogi képviselő nélkül jártak el, a kereseti és fellebbezési eljárási illetéket pedig a felperes előlegezte, így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döntésére tekintettel az első- és másodfokú illetéket ő is viseli. A felperes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teljes személyes költségfeljegyzési jogára tekintettel le nem rótt felülvizsgálati eljárási illeték megfizetésére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102. § (1) bekezdése alapján köteles.</w:t>
      </w:r>
      <w:r>
        <w:rPr>
          <w:vertAlign w:val="baseline"/>
        </w:rPr>
        <w:t xml:space="preserve">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405. § (1) bekezdése folytán alkalmazandó 376. § (1) bekezdés a) pontja alapján – kérelemre – tárgyaláson bírálta 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ítélet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d) pontja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alkalmazott jogszabályok és az alkalmazott joggyakorlat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325. § (1) bekezdés, 327. § (1) bekezdés,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2014. évi </w:t>
      </w:r>
      <w:r>
        <w:rPr>
          <w:vertAlign w:val="baseline"/>
        </w:rPr>
        <w:t xml:space="preserve">XXXVIII</w:t>
      </w:r>
      <w:r>
        <w:rPr>
          <w:vertAlign w:val="baseline"/>
        </w:rPr>
        <w:t xml:space="preserve">. törvény 1. § (7) bekezdés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2014. évi </w:t>
      </w:r>
      <w:r>
        <w:rPr>
          <w:vertAlign w:val="baseline"/>
        </w:rPr>
        <w:t xml:space="preserve">XL.</w:t>
      </w:r>
      <w:r>
        <w:rPr>
          <w:vertAlign w:val="baseline"/>
        </w:rPr>
        <w:t xml:space="preserve"> törvény 9. §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Gfv.VI.30.430/2021/6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pénzügyi intézmény devizatörvények szerinti elszámolási kötelezettségének határidejét a jogszabály a deviza alapú kölcsönszerződésekből eredő követelések nyugvása megszűnéseként és nem az elévülés megszakításaként szabályozza. Ez fogalmilag kizárja, hogy a hitelező elszámolása egyben az rPtk. 327. § (1) bekezdése szerint olyan nyilatkozatnak is minősüljön, amely az elévülést megszakítja. A jogszabályi előírásoknak megfelelő elszámolólevél tartalmában sem felelt meg a követelés teljesítésére irányuló írásbeli felszólításnak.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2022. október 25.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Tibold Ágnes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s.k. bíró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S.K.</w:t>
      </w:r>
      <w:r>
        <w:rPr>
          <w:vertAlign w:val="baseline"/>
        </w:rPr>
        <w:t xml:space="preserve">                           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bírósági ügyintéző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15" w:rsidRDefault="009A6215" w:rsidP="0014128E">
      <w:pPr>
        <w:spacing w:after="0"/>
      </w:pPr>
      <w:r>
        <w:separator/>
      </w:r>
    </w:p>
  </w:endnote>
  <w:endnote w:type="continuationSeparator" w:id="0">
    <w:p w:rsidR="009A6215" w:rsidRDefault="009A6215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9A6215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15" w:rsidRDefault="009A6215" w:rsidP="0014128E">
      <w:pPr>
        <w:spacing w:after="0"/>
      </w:pPr>
      <w:r>
        <w:separator/>
      </w:r>
    </w:p>
  </w:footnote>
  <w:footnote w:type="continuationSeparator" w:id="0">
    <w:p w:rsidR="009A6215" w:rsidRDefault="009A6215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36C87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 w:rsidR="00666525">
      <w:rPr>
        <w:noProof/>
      </w:rPr>
      <w:t>2</w:t>
    </w:r>
    <w:r w:rsidR="000061FE">
      <w:fldChar w:fldCharType="end"/>
    </w:r>
  </w:p>
  <w:p w:rsidR="0093752C" w:rsidRDefault="0093752C">
    <w:pPr>
      <w:pStyle w:val="lfej"/>
    </w:pPr>
    <w:r>
      <w:t>VI.Gfv.30.058/2022/9-II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D354AC" w:rsidRDefault="0079103E">
    <w:pPr>
      <w:pStyle w:val="lfej"/>
      <w:spacing w:after="480"/>
    </w:pP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34963"/>
    <w:rsid w:val="0005723F"/>
    <w:rsid w:val="00065DC3"/>
    <w:rsid w:val="0008220C"/>
    <w:rsid w:val="00091769"/>
    <w:rsid w:val="000B782D"/>
    <w:rsid w:val="000F498D"/>
    <w:rsid w:val="00136C87"/>
    <w:rsid w:val="0014128E"/>
    <w:rsid w:val="001719C9"/>
    <w:rsid w:val="001E0961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666525"/>
    <w:rsid w:val="006754E2"/>
    <w:rsid w:val="00757E57"/>
    <w:rsid w:val="007660D3"/>
    <w:rsid w:val="0079103E"/>
    <w:rsid w:val="00853160"/>
    <w:rsid w:val="008E2EA8"/>
    <w:rsid w:val="008E6F0B"/>
    <w:rsid w:val="0093752C"/>
    <w:rsid w:val="00994AF4"/>
    <w:rsid w:val="009A6215"/>
    <w:rsid w:val="00B54D1F"/>
    <w:rsid w:val="00B76174"/>
    <w:rsid w:val="00BE3D8F"/>
    <w:rsid w:val="00C811EB"/>
    <w:rsid w:val="00CB591D"/>
    <w:rsid w:val="00CD4772"/>
    <w:rsid w:val="00D322E0"/>
    <w:rsid w:val="00D354AC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CFB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EE93-D828-4236-8F83-A310B91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2020-01-21T10:01:00Z</dcterms:modified>
</cp:coreProperties>
</file>